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 10.04.2025 № 159-п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т а н о в л я е т</w:t>
      </w:r>
      <w:r>
        <w:rPr>
          <w:b/>
          <w:bCs/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Внести в постановление Правительства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от 10.04.2025 № 159-п </w:t>
      </w:r>
      <w:r>
        <w:rPr>
          <w:sz w:val="28"/>
          <w:szCs w:val="28"/>
        </w:rPr>
        <w:t xml:space="preserve">«Об установлении особого противопожарного режима на территории Новосибирской области »</w:t>
      </w:r>
      <w:r>
        <w:rPr>
          <w:sz w:val="28"/>
          <w:szCs w:val="28"/>
          <w:highlight w:val="none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Пункт 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«1. Установить особый противопожарный режим: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на территории </w:t>
      </w:r>
      <w:r>
        <w:rPr>
          <w:sz w:val="28"/>
          <w:szCs w:val="28"/>
          <w:highlight w:val="none"/>
        </w:rPr>
        <w:t xml:space="preserve">Доволенского, Краснозерского, Новосибирского, Сузунского районов, </w:t>
      </w:r>
      <w:r>
        <w:rPr>
          <w:sz w:val="28"/>
          <w:szCs w:val="28"/>
          <w:highlight w:val="none"/>
        </w:rPr>
        <w:t xml:space="preserve">Карасукского муниципального округа, города Новосибирска Новосибирской </w:t>
      </w:r>
      <w:r>
        <w:rPr>
          <w:sz w:val="28"/>
          <w:szCs w:val="28"/>
          <w:highlight w:val="none"/>
        </w:rPr>
        <w:t xml:space="preserve">области - с 11 апреля по 12 мая 2025 года;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Венгеровского,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Каргатского, Куйбышевского,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Убинского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Чановского,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Чулымского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Новосибирской области</w:t>
      </w:r>
      <w:r>
        <w:rPr>
          <w:sz w:val="28"/>
          <w:szCs w:val="28"/>
          <w:highlight w:val="none"/>
        </w:rPr>
        <w:t xml:space="preserve"> - с ______ по ______ 2025 года;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территории Барабинского, Здвинского, </w:t>
      </w:r>
      <w:r>
        <w:rPr>
          <w:sz w:val="28"/>
          <w:szCs w:val="28"/>
          <w:highlight w:val="none"/>
        </w:rPr>
        <w:t xml:space="preserve">Искитимского, Колыванского, Коченевского, Кочковского, Купинского, Кыштовского, Мошковского, Ордынского, Северного, Тогучинского, Усть-Тарского, Чистоозерного районов, Татарского муниципального округа Новосибирской области - с _______ по _______ 2025 года;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территории Баганского, Болотнинского, Черепановского районов, Маслянинского муниципального округа, в городах Бердске, Искитиме, Оби, рабочем поселке Кольцово Новосибирской области – с ________по_______2025 года.».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8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rPr>
          <w:sz w:val="20"/>
          <w:szCs w:val="20"/>
        </w:rPr>
      </w:pPr>
      <w:r>
        <w:rPr>
          <w:sz w:val="20"/>
          <w:szCs w:val="20"/>
        </w:rPr>
        <w:t xml:space="preserve">Е.Г. Назаров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rPr>
          <w:sz w:val="20"/>
          <w:szCs w:val="20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06" w:h="16838" w:orient="portrait"/>
          <w:pgMar w:top="284" w:right="567" w:bottom="1134" w:left="1418" w:header="283" w:footer="0" w:gutter="0"/>
          <w:pgNumType w:start="1"/>
          <w:cols w:num="1" w:sep="0" w:space="720" w:equalWidth="1"/>
          <w:docGrid w:linePitch="360"/>
          <w:titlePg/>
        </w:sectPr>
      </w:pPr>
      <w:r>
        <w:rPr>
          <w:sz w:val="20"/>
          <w:szCs w:val="20"/>
        </w:rPr>
        <w:t xml:space="preserve">238 76 09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8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tbl>
      <w:tblPr>
        <w:tblW w:w="10335" w:type="dxa"/>
        <w:tblInd w:w="-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84"/>
        <w:gridCol w:w="2361"/>
        <w:gridCol w:w="2890"/>
      </w:tblGrid>
      <w:tr>
        <w:tblPrEx/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vMerge w:val="restart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Первый заместитель Председателя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vMerge w:val="restart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vMerge w:val="restart"/>
            <w:textDirection w:val="lrTb"/>
            <w:noWrap w:val="false"/>
          </w:tcPr>
          <w:p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313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В.М. 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Заместитель Губернатора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Новосибирской области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68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О.П. Клемешов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  <w:tr>
        <w:tblPrEx/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М</w:t>
            </w:r>
            <w:r>
              <w:rPr>
                <w:rFonts w:cs="Arial"/>
                <w:sz w:val="28"/>
                <w:szCs w:val="28"/>
              </w:rPr>
              <w:t xml:space="preserve">инистр юстиции Новосибирской области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68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Т.Н. Деркач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  <w:tr>
        <w:tblPrEx/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И.о. м</w:t>
            </w:r>
            <w:r>
              <w:rPr>
                <w:rFonts w:cs="Arial"/>
                <w:sz w:val="28"/>
                <w:szCs w:val="28"/>
              </w:rPr>
              <w:t xml:space="preserve">инистра </w:t>
            </w:r>
            <w:r>
              <w:rPr>
                <w:rFonts w:cs="Arial"/>
                <w:sz w:val="28"/>
                <w:szCs w:val="28"/>
              </w:rPr>
              <w:t xml:space="preserve">жилищно-коммунального хозяйства и энергетики Новосибирской области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68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Е.Г. Назаров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  <w:tr>
        <w:tblPrEx/>
        <w:trPr>
          <w:trHeight w:val="6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84" w:type="dxa"/>
            <w:vAlign w:val="top"/>
            <w:textDirection w:val="lrTb"/>
            <w:noWrap w:val="false"/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highlight w:val="none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rPr>
                <w:rFonts w:cs="Arial"/>
                <w:sz w:val="28"/>
                <w:szCs w:val="28"/>
                <w:highlight w:val="none"/>
              </w:rPr>
            </w:pPr>
            <w:r>
              <w:rPr>
                <w:rFonts w:cs="Arial"/>
                <w:sz w:val="28"/>
                <w:szCs w:val="28"/>
              </w:rPr>
              <w:t xml:space="preserve">Начальник Главного управления МЧС России по Новосибирской области</w:t>
            </w:r>
            <w:r>
              <w:rPr>
                <w:rFonts w:cs="Arial"/>
                <w:sz w:val="28"/>
                <w:szCs w:val="28"/>
                <w:highlight w:val="none"/>
              </w:rPr>
            </w:r>
            <w:r>
              <w:rPr>
                <w:rFonts w:cs="Arial"/>
                <w:sz w:val="28"/>
                <w:szCs w:val="28"/>
                <w:highlight w:val="none"/>
              </w:rPr>
            </w:r>
          </w:p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1" w:type="dxa"/>
            <w:vAlign w:val="top"/>
            <w:textDirection w:val="lrTb"/>
            <w:noWrap w:val="false"/>
          </w:tcPr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90" w:type="dxa"/>
            <w:vAlign w:val="top"/>
            <w:textDirection w:val="lrTb"/>
            <w:noWrap w:val="false"/>
          </w:tcPr>
          <w:p>
            <w:pPr>
              <w:pStyle w:val="86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  <w:p>
            <w:pPr>
              <w:pStyle w:val="868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В.В. Орлов</w: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</w:r>
          </w:p>
        </w:tc>
      </w:tr>
    </w:tbl>
    <w:p>
      <w:pPr>
        <w:shd w:val="clear" w:color="auto" w:fill="ffffff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tbl>
      <w:tblPr>
        <w:tblStyle w:val="724"/>
        <w:tblW w:w="0" w:type="auto"/>
        <w:tblLook w:val="04A0" w:firstRow="1" w:lastRow="0" w:firstColumn="1" w:lastColumn="0" w:noHBand="0" w:noVBand="1"/>
      </w:tblPr>
      <w:tblGrid>
        <w:gridCol w:w="5240"/>
        <w:gridCol w:w="2410"/>
        <w:gridCol w:w="2261"/>
      </w:tblGrid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министра - начальник управления по предупреждению чрезвычайных ситуаций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организационно-правового и кадрового обеспечения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Консультант (юрист) отдела организационно-правового и кадрового обеспечения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pStyle w:val="868"/>
        <w:shd w:val="clear" w:color="auto" w:fill="ffffff"/>
        <w:rPr>
          <w:rFonts w:cs="Arial"/>
          <w:sz w:val="20"/>
          <w:szCs w:val="20"/>
          <w:highlight w:val="none"/>
        </w:rPr>
      </w:pPr>
      <w:r>
        <w:rPr>
          <w:rFonts w:cs="Arial"/>
          <w:sz w:val="20"/>
          <w:szCs w:val="20"/>
        </w:rPr>
        <w:t xml:space="preserve">А.А, Прохоров</w:t>
      </w:r>
      <w:r>
        <w:rPr>
          <w:rFonts w:cs="Arial"/>
          <w:sz w:val="20"/>
          <w:szCs w:val="20"/>
          <w:highlight w:val="none"/>
        </w:rPr>
      </w:r>
      <w:r>
        <w:rPr>
          <w:rFonts w:cs="Arial"/>
          <w:sz w:val="20"/>
          <w:szCs w:val="20"/>
          <w:highlight w:val="none"/>
        </w:rPr>
      </w:r>
    </w:p>
    <w:p>
      <w:pPr>
        <w:pStyle w:val="868"/>
        <w:contextualSpacing w:val="0"/>
        <w:jc w:val="left"/>
        <w:shd w:val="clear" w:color="auto" w:fill="ffffff"/>
        <w:rPr>
          <w:rFonts w:cs="Arial"/>
          <w:sz w:val="20"/>
          <w:szCs w:val="20"/>
        </w:rPr>
        <w:suppressLineNumbers w:val="0"/>
      </w:pPr>
      <w:r>
        <w:rPr>
          <w:rFonts w:cs="Arial"/>
          <w:sz w:val="20"/>
          <w:szCs w:val="20"/>
        </w:rPr>
        <w:t xml:space="preserve">238-42-49</w: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  <w:r/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69">
    <w:name w:val="Основной шрифт абзаца"/>
    <w:next w:val="869"/>
    <w:link w:val="868"/>
    <w:uiPriority w:val="1"/>
    <w:unhideWhenUsed/>
  </w:style>
  <w:style w:type="table" w:styleId="870">
    <w:name w:val="Обычная таблица"/>
    <w:next w:val="870"/>
    <w:link w:val="868"/>
    <w:uiPriority w:val="99"/>
    <w:semiHidden/>
    <w:unhideWhenUsed/>
    <w:qFormat/>
    <w:tblPr/>
  </w:style>
  <w:style w:type="numbering" w:styleId="871">
    <w:name w:val="Нет списка"/>
    <w:next w:val="871"/>
    <w:link w:val="868"/>
    <w:uiPriority w:val="99"/>
    <w:semiHidden/>
    <w:unhideWhenUsed/>
  </w:style>
  <w:style w:type="character" w:styleId="872">
    <w:name w:val="Основной текст (3)_"/>
    <w:next w:val="872"/>
    <w:link w:val="873"/>
    <w:uiPriority w:val="9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styleId="873">
    <w:name w:val="Основной текст (3)"/>
    <w:basedOn w:val="868"/>
    <w:next w:val="873"/>
    <w:link w:val="872"/>
    <w:uiPriority w:val="99"/>
    <w:pPr>
      <w:jc w:val="center"/>
      <w:spacing w:before="420" w:after="420" w:line="240" w:lineRule="atLeast"/>
      <w:shd w:val="clear" w:color="auto" w:fill="ffffff"/>
      <w:widowControl w:val="off"/>
    </w:pPr>
    <w:rPr>
      <w:rFonts w:eastAsia="Calibri"/>
      <w:spacing w:val="10"/>
      <w:sz w:val="25"/>
      <w:szCs w:val="25"/>
      <w:lang w:val="en-US" w:eastAsia="en-US"/>
    </w:rPr>
  </w:style>
  <w:style w:type="paragraph" w:styleId="874">
    <w:name w:val="ConsNormal"/>
    <w:next w:val="874"/>
    <w:link w:val="868"/>
    <w:pPr>
      <w:ind w:firstLine="720"/>
      <w:widowControl w:val="off"/>
    </w:pPr>
    <w:rPr>
      <w:rFonts w:ascii="Arial" w:hAnsi="Arial" w:eastAsia="Times New Roman" w:cs="Arial"/>
      <w:color w:val="000000"/>
      <w:lang w:val="ru-RU" w:eastAsia="ru-RU" w:bidi="ar-SA"/>
    </w:rPr>
  </w:style>
  <w:style w:type="paragraph" w:styleId="875">
    <w:name w:val="Верхний колонтитул"/>
    <w:basedOn w:val="868"/>
    <w:next w:val="875"/>
    <w:link w:val="876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76">
    <w:name w:val="Верхний колонтитул Знак"/>
    <w:next w:val="876"/>
    <w:link w:val="875"/>
    <w:uiPriority w:val="99"/>
    <w:rPr>
      <w:sz w:val="22"/>
      <w:szCs w:val="22"/>
      <w:lang w:eastAsia="en-US"/>
    </w:rPr>
  </w:style>
  <w:style w:type="paragraph" w:styleId="877">
    <w:name w:val="Нижний колонтитул"/>
    <w:basedOn w:val="868"/>
    <w:next w:val="877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next w:val="878"/>
    <w:link w:val="877"/>
    <w:uiPriority w:val="99"/>
    <w:rPr>
      <w:rFonts w:ascii="Times New Roman" w:hAnsi="Times New Roman" w:eastAsia="Times New Roman"/>
      <w:sz w:val="24"/>
      <w:szCs w:val="24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Admin</dc:creator>
  <cp:revision>22</cp:revision>
  <dcterms:created xsi:type="dcterms:W3CDTF">2023-04-14T06:12:00Z</dcterms:created>
  <dcterms:modified xsi:type="dcterms:W3CDTF">2025-04-11T02:50:24Z</dcterms:modified>
  <cp:version>983040</cp:version>
</cp:coreProperties>
</file>