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Проект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постановления Правительства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both"/>
        <w:rPr>
          <w:rFonts w:ascii="Times New Roman" w:hAnsi="Times New Roman" w:eastAsia="Calibri" w:cs="Times New Roman"/>
          <w:b/>
          <w:sz w:val="28"/>
          <w:szCs w:val="28"/>
          <w:highlight w:val="yellow"/>
        </w:rPr>
      </w:pPr>
      <w:r>
        <w:rPr>
          <w:rFonts w:ascii="Times New Roman" w:hAnsi="Times New Roman" w:eastAsia="Calibri" w:cs="Times New Roman"/>
          <w:b/>
          <w:sz w:val="28"/>
          <w:szCs w:val="28"/>
          <w:highlight w:val="yellow"/>
        </w:rPr>
      </w:r>
      <w:r>
        <w:rPr>
          <w:rFonts w:ascii="Times New Roman" w:hAnsi="Times New Roman" w:eastAsia="Calibri" w:cs="Times New Roman"/>
          <w:b/>
          <w:sz w:val="28"/>
          <w:szCs w:val="28"/>
          <w:highlight w:val="yellow"/>
        </w:rPr>
      </w:r>
      <w:r>
        <w:rPr>
          <w:rFonts w:ascii="Times New Roman" w:hAnsi="Times New Roman" w:eastAsia="Calibri" w:cs="Times New Roman"/>
          <w:b/>
          <w:sz w:val="28"/>
          <w:szCs w:val="28"/>
          <w:highlight w:val="yellow"/>
        </w:rPr>
      </w:r>
    </w:p>
    <w:p>
      <w:pPr>
        <w:jc w:val="both"/>
        <w:rPr>
          <w:rFonts w:ascii="Times New Roman" w:hAnsi="Times New Roman" w:eastAsia="Calibri" w:cs="Times New Roman"/>
          <w:b/>
          <w:sz w:val="28"/>
          <w:szCs w:val="28"/>
          <w:highlight w:val="yellow"/>
        </w:rPr>
      </w:pPr>
      <w:r>
        <w:rPr>
          <w:rFonts w:ascii="Times New Roman" w:hAnsi="Times New Roman" w:eastAsia="Calibri" w:cs="Times New Roman"/>
          <w:b/>
          <w:sz w:val="28"/>
          <w:szCs w:val="28"/>
          <w:highlight w:val="yellow"/>
        </w:rPr>
      </w:r>
      <w:r>
        <w:rPr>
          <w:rFonts w:ascii="Times New Roman" w:hAnsi="Times New Roman" w:eastAsia="Calibri" w:cs="Times New Roman"/>
          <w:b/>
          <w:sz w:val="28"/>
          <w:szCs w:val="28"/>
          <w:highlight w:val="yellow"/>
        </w:rPr>
      </w:r>
      <w:r>
        <w:rPr>
          <w:rFonts w:ascii="Times New Roman" w:hAnsi="Times New Roman" w:eastAsia="Calibri" w:cs="Times New Roman"/>
          <w:b/>
          <w:sz w:val="28"/>
          <w:szCs w:val="28"/>
          <w:highlight w:val="yellow"/>
        </w:rPr>
      </w:r>
    </w:p>
    <w:p>
      <w:pPr>
        <w:jc w:val="both"/>
        <w:rPr>
          <w:rFonts w:ascii="Times New Roman" w:hAnsi="Times New Roman" w:eastAsia="Calibri" w:cs="Times New Roman"/>
          <w:b/>
          <w:sz w:val="28"/>
          <w:szCs w:val="28"/>
          <w:highlight w:val="yellow"/>
        </w:rPr>
      </w:pPr>
      <w:r>
        <w:rPr>
          <w:rFonts w:ascii="Times New Roman" w:hAnsi="Times New Roman" w:eastAsia="Calibri" w:cs="Times New Roman"/>
          <w:b/>
          <w:sz w:val="28"/>
          <w:szCs w:val="28"/>
          <w:highlight w:val="yellow"/>
        </w:rPr>
      </w:r>
      <w:r>
        <w:rPr>
          <w:rFonts w:ascii="Times New Roman" w:hAnsi="Times New Roman" w:eastAsia="Calibri" w:cs="Times New Roman"/>
          <w:b/>
          <w:sz w:val="28"/>
          <w:szCs w:val="28"/>
          <w:highlight w:val="yellow"/>
        </w:rPr>
      </w:r>
      <w:r>
        <w:rPr>
          <w:rFonts w:ascii="Times New Roman" w:hAnsi="Times New Roman" w:eastAsia="Calibri" w:cs="Times New Roman"/>
          <w:b/>
          <w:sz w:val="28"/>
          <w:szCs w:val="28"/>
          <w:highlight w:val="yellow"/>
        </w:rPr>
      </w:r>
    </w:p>
    <w:p>
      <w:pPr>
        <w:jc w:val="both"/>
        <w:rPr>
          <w:rFonts w:ascii="Times New Roman" w:hAnsi="Times New Roman" w:eastAsia="Calibri" w:cs="Times New Roman"/>
          <w:b/>
          <w:sz w:val="28"/>
          <w:szCs w:val="28"/>
          <w:highlight w:val="yellow"/>
        </w:rPr>
      </w:pPr>
      <w:r>
        <w:rPr>
          <w:rFonts w:ascii="Times New Roman" w:hAnsi="Times New Roman" w:eastAsia="Calibri" w:cs="Times New Roman"/>
          <w:b/>
          <w:sz w:val="28"/>
          <w:szCs w:val="28"/>
          <w:highlight w:val="yellow"/>
        </w:rPr>
      </w:r>
      <w:r>
        <w:rPr>
          <w:rFonts w:ascii="Times New Roman" w:hAnsi="Times New Roman" w:eastAsia="Calibri" w:cs="Times New Roman"/>
          <w:b/>
          <w:sz w:val="28"/>
          <w:szCs w:val="28"/>
          <w:highlight w:val="yellow"/>
        </w:rPr>
      </w:r>
      <w:r>
        <w:rPr>
          <w:rFonts w:ascii="Times New Roman" w:hAnsi="Times New Roman" w:eastAsia="Calibri" w:cs="Times New Roman"/>
          <w:b/>
          <w:sz w:val="28"/>
          <w:szCs w:val="28"/>
          <w:highlight w:val="yellow"/>
        </w:rPr>
      </w:r>
    </w:p>
    <w:p>
      <w:pPr>
        <w:jc w:val="both"/>
        <w:rPr>
          <w:rFonts w:ascii="Times New Roman" w:hAnsi="Times New Roman" w:eastAsia="Calibri" w:cs="Times New Roman"/>
          <w:b/>
          <w:sz w:val="28"/>
          <w:szCs w:val="28"/>
          <w:highlight w:val="yellow"/>
        </w:rPr>
      </w:pPr>
      <w:r>
        <w:rPr>
          <w:rFonts w:ascii="Times New Roman" w:hAnsi="Times New Roman" w:eastAsia="Calibri" w:cs="Times New Roman"/>
          <w:b/>
          <w:sz w:val="28"/>
          <w:szCs w:val="28"/>
          <w:highlight w:val="yellow"/>
        </w:rPr>
      </w:r>
      <w:r>
        <w:rPr>
          <w:rFonts w:ascii="Times New Roman" w:hAnsi="Times New Roman" w:eastAsia="Calibri" w:cs="Times New Roman"/>
          <w:b/>
          <w:sz w:val="28"/>
          <w:szCs w:val="28"/>
          <w:highlight w:val="yellow"/>
        </w:rPr>
      </w:r>
      <w:r>
        <w:rPr>
          <w:rFonts w:ascii="Times New Roman" w:hAnsi="Times New Roman" w:eastAsia="Calibri" w:cs="Times New Roman"/>
          <w:b/>
          <w:sz w:val="28"/>
          <w:szCs w:val="28"/>
          <w:highlight w:val="yellow"/>
        </w:rPr>
      </w:r>
    </w:p>
    <w:p>
      <w:pPr>
        <w:jc w:val="both"/>
        <w:rPr>
          <w:rFonts w:ascii="Times New Roman" w:hAnsi="Times New Roman" w:eastAsia="Calibri" w:cs="Times New Roman"/>
          <w:b/>
          <w:sz w:val="28"/>
          <w:szCs w:val="28"/>
          <w:highlight w:val="yellow"/>
        </w:rPr>
      </w:pPr>
      <w:r>
        <w:rPr>
          <w:rFonts w:ascii="Times New Roman" w:hAnsi="Times New Roman" w:eastAsia="Calibri" w:cs="Times New Roman"/>
          <w:b/>
          <w:sz w:val="28"/>
          <w:szCs w:val="28"/>
          <w:highlight w:val="yellow"/>
        </w:rPr>
      </w:r>
      <w:r>
        <w:rPr>
          <w:rFonts w:ascii="Times New Roman" w:hAnsi="Times New Roman" w:eastAsia="Calibri" w:cs="Times New Roman"/>
          <w:b/>
          <w:sz w:val="28"/>
          <w:szCs w:val="28"/>
          <w:highlight w:val="yellow"/>
        </w:rPr>
      </w:r>
      <w:r>
        <w:rPr>
          <w:rFonts w:ascii="Times New Roman" w:hAnsi="Times New Roman" w:eastAsia="Calibri" w:cs="Times New Roman"/>
          <w:b/>
          <w:sz w:val="28"/>
          <w:szCs w:val="28"/>
          <w:highlight w:val="yellow"/>
        </w:rPr>
      </w:r>
    </w:p>
    <w:p>
      <w:pPr>
        <w:jc w:val="both"/>
        <w:rPr>
          <w:rFonts w:ascii="Times New Roman" w:hAnsi="Times New Roman" w:eastAsia="Calibri" w:cs="Times New Roman"/>
          <w:b/>
          <w:sz w:val="28"/>
          <w:szCs w:val="28"/>
          <w:highlight w:val="yellow"/>
        </w:rPr>
      </w:pPr>
      <w:r>
        <w:rPr>
          <w:rFonts w:ascii="Times New Roman" w:hAnsi="Times New Roman" w:eastAsia="Calibri" w:cs="Times New Roman"/>
          <w:b/>
          <w:sz w:val="28"/>
          <w:szCs w:val="28"/>
          <w:highlight w:val="yellow"/>
        </w:rPr>
      </w:r>
      <w:r>
        <w:rPr>
          <w:rFonts w:ascii="Times New Roman" w:hAnsi="Times New Roman" w:eastAsia="Calibri" w:cs="Times New Roman"/>
          <w:b/>
          <w:sz w:val="28"/>
          <w:szCs w:val="28"/>
          <w:highlight w:val="yellow"/>
        </w:rPr>
      </w:r>
      <w:r>
        <w:rPr>
          <w:rFonts w:ascii="Times New Roman" w:hAnsi="Times New Roman" w:eastAsia="Calibri" w:cs="Times New Roman"/>
          <w:b/>
          <w:sz w:val="28"/>
          <w:szCs w:val="28"/>
          <w:highlight w:val="yellow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 внесении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изменений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постановление Правительства Новосибирской области от </w:t>
      </w:r>
      <w:r>
        <w:rPr>
          <w:rFonts w:ascii="Times New Roman" w:hAnsi="Times New Roman" w:eastAsia="Calibri" w:cs="Times New Roman"/>
          <w:sz w:val="28"/>
          <w:szCs w:val="28"/>
        </w:rPr>
        <w:t xml:space="preserve">23.09.2024 № 434-п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 xml:space="preserve">п</w:t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 xml:space="preserve">о</w:t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 xml:space="preserve">с</w:t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 xml:space="preserve">т</w:t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 xml:space="preserve">а</w:t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 xml:space="preserve">н</w:t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 xml:space="preserve">о</w:t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 xml:space="preserve">в</w:t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 xml:space="preserve">л</w:t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 xml:space="preserve">я</w:t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 xml:space="preserve">е</w:t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 xml:space="preserve">т:</w:t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Внести в постановление Правительства Новосибирской области от </w:t>
      </w:r>
      <w:r>
        <w:rPr>
          <w:rFonts w:ascii="Times New Roman" w:hAnsi="Times New Roman" w:eastAsia="Calibri" w:cs="Times New Roman"/>
          <w:sz w:val="28"/>
          <w:szCs w:val="28"/>
        </w:rPr>
        <w:t xml:space="preserve">23.09.2024 № 434-п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Об эвакуационной комиссии Новосибирской области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» следующие изменения: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в составе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эвакуационной комиссии Новосибирской области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(далее – комиссия):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</w:r>
    </w:p>
    <w:p>
      <w:pPr>
        <w:pStyle w:val="847"/>
        <w:ind w:left="709"/>
        <w:jc w:val="both"/>
        <w:spacing w:after="0" w:line="240" w:lineRule="auto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1. 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вести в состав комиссии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: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</w:r>
    </w:p>
    <w:p>
      <w:pPr>
        <w:pStyle w:val="847"/>
        <w:ind w:left="0" w:firstLine="709"/>
        <w:jc w:val="both"/>
        <w:spacing w:after="0" w:line="240" w:lineRule="auto"/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Клемешова Олега Петровича – заместителя Губернатора Новосибирской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комиссии;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</w:r>
    </w:p>
    <w:p>
      <w:pPr>
        <w:pStyle w:val="847"/>
        <w:ind w:left="0" w:firstLine="709"/>
        <w:jc w:val="both"/>
        <w:spacing w:after="0" w:line="240" w:lineRule="auto"/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  <w:t xml:space="preserve">Черезова Дмитрия Владимировича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– заместителя начальника Управления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Федеральной службы войск национальной гвардии Российской Федерации по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по Новосибирской области по военно-политической (политической) работе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2. Вывести из состава комиссии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:</w:t>
      </w:r>
      <w:bookmarkStart w:id="0" w:name="_GoBack"/>
      <w:r/>
      <w:bookmarkEnd w:id="0"/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Сёмку С.Н.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, Шестакова С.Н.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А.А. </w:t>
      </w:r>
      <w:r>
        <w:rPr>
          <w:rFonts w:ascii="Times New Roman" w:hAnsi="Times New Roman" w:cs="Times New Roman"/>
          <w:sz w:val="28"/>
          <w:szCs w:val="28"/>
        </w:rPr>
        <w:t xml:space="preserve">Травников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Е.Г. Назаров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</w:rPr>
        <w:t xml:space="preserve">227 05 </w:t>
      </w:r>
      <w:r>
        <w:rPr>
          <w:rFonts w:ascii="Times New Roman" w:hAnsi="Times New Roman" w:cs="Times New Roman"/>
          <w:sz w:val="20"/>
          <w:szCs w:val="20"/>
        </w:rPr>
        <w:t xml:space="preserve">66</w:t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Style w:val="85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447"/>
        <w:gridCol w:w="2203"/>
        <w:gridCol w:w="2261"/>
      </w:tblGrid>
      <w:tr>
        <w:tblPrEx/>
        <w:trPr/>
        <w:tc>
          <w:tcPr>
            <w:gridSpan w:val="3"/>
            <w:tcW w:w="9911" w:type="dxa"/>
            <w:textDirection w:val="lrTb"/>
            <w:noWrap w:val="false"/>
          </w:tcPr>
          <w:p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144"/>
        </w:trPr>
        <w:tc>
          <w:tcPr>
            <w:tcW w:w="5447" w:type="dxa"/>
            <w:textDirection w:val="lrTb"/>
            <w:noWrap w:val="false"/>
          </w:tcPr>
          <w:p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Председателя Правительства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6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В.М. Знатков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144"/>
        </w:trPr>
        <w:tc>
          <w:tcPr>
            <w:tcW w:w="5447" w:type="dxa"/>
            <w:textDirection w:val="lrTb"/>
            <w:noWrap w:val="false"/>
          </w:tcPr>
          <w:p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Губернатора Новосибирской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6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О.П. Клемешов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144"/>
        </w:trPr>
        <w:tc>
          <w:tcPr>
            <w:tcW w:w="5447" w:type="dxa"/>
            <w:textDirection w:val="lrTb"/>
            <w:noWrap w:val="false"/>
          </w:tcPr>
          <w:p>
            <w:pPr>
              <w:pStyle w:val="867"/>
              <w:ind w:firstLine="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67"/>
              <w:ind w:firstLine="0"/>
              <w:widowControl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 юстиции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67"/>
              <w:ind w:firstLine="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03" w:type="dxa"/>
            <w:textDirection w:val="lrTb"/>
            <w:noWrap w:val="false"/>
          </w:tcPr>
          <w:p>
            <w:pPr>
              <w:pStyle w:val="867"/>
              <w:ind w:firstLine="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867"/>
              <w:ind w:firstLine="0"/>
              <w:jc w:val="righ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67"/>
              <w:ind w:firstLine="0"/>
              <w:jc w:val="right"/>
              <w:widowControl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Т.Н. Деркач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67"/>
              <w:ind w:firstLine="0"/>
              <w:jc w:val="righ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144"/>
        </w:trPr>
        <w:tc>
          <w:tcPr>
            <w:tcW w:w="5447" w:type="dxa"/>
            <w:textDirection w:val="lrTb"/>
            <w:noWrap w:val="false"/>
          </w:tcPr>
          <w:p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жилищно-коммунального хозяйства и энергетики Новосибирской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6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144"/>
        </w:trPr>
        <w:tc>
          <w:tcPr>
            <w:tcW w:w="5447" w:type="dxa"/>
            <w:textDirection w:val="lrTb"/>
            <w:noWrap w:val="false"/>
          </w:tcPr>
          <w:p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Главного управления МЧС России по Новосибирской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6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В.В. Орлов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r/>
      <w:r/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Style w:val="851"/>
        <w:tblpPr w:horzAnchor="margin" w:tblpXSpec="left" w:vertAnchor="text" w:tblpY="54" w:leftFromText="180" w:topFromText="0" w:rightFromText="180" w:bottomFromText="0"/>
        <w:tblW w:w="0" w:type="auto"/>
        <w:tblLook w:val="04A0" w:firstRow="1" w:lastRow="0" w:firstColumn="1" w:lastColumn="0" w:noHBand="0" w:noVBand="1"/>
      </w:tblPr>
      <w:tblGrid>
        <w:gridCol w:w="3681"/>
        <w:gridCol w:w="1417"/>
        <w:gridCol w:w="2977"/>
      </w:tblGrid>
      <w:tr>
        <w:tblPrEx/>
        <w:trPr>
          <w:trHeight w:val="64"/>
        </w:trPr>
        <w:tc>
          <w:tcPr>
            <w:tcW w:w="3681" w:type="dxa"/>
            <w:textDirection w:val="lrTb"/>
            <w:noWrap w:val="false"/>
          </w:tcPr>
          <w:p>
            <w:pPr>
              <w:pStyle w:val="843"/>
              <w:jc w:val="center"/>
              <w:spacing w:before="0" w:after="20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Ф.И.О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3"/>
              <w:jc w:val="center"/>
              <w:spacing w:before="0" w:after="20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843"/>
              <w:jc w:val="center"/>
              <w:spacing w:before="0" w:after="20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Подпись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743"/>
        </w:trPr>
        <w:tc>
          <w:tcPr>
            <w:tcW w:w="3681" w:type="dxa"/>
            <w:vAlign w:val="center"/>
            <w:textDirection w:val="lrTb"/>
            <w:noWrap w:val="false"/>
          </w:tcPr>
          <w:p>
            <w:pPr>
              <w:pStyle w:val="843"/>
              <w:jc w:val="both"/>
              <w:spacing w:before="0" w:after="102" w:line="187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министра - начальник управления по предупреждению чрезвычайных ситуаций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43"/>
              <w:jc w:val="both"/>
              <w:spacing w:before="0" w:after="102" w:line="187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pStyle w:val="843"/>
              <w:jc w:val="both"/>
              <w:spacing w:before="0" w:after="102" w:line="187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701"/>
        </w:trPr>
        <w:tc>
          <w:tcPr>
            <w:tcW w:w="3681" w:type="dxa"/>
            <w:vAlign w:val="center"/>
            <w:textDirection w:val="lrTb"/>
            <w:noWrap w:val="false"/>
          </w:tcPr>
          <w:p>
            <w:pPr>
              <w:pStyle w:val="843"/>
              <w:jc w:val="both"/>
              <w:spacing w:before="0" w:after="102" w:line="187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организационно-правового и кадрового обеспечения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43"/>
              <w:jc w:val="both"/>
              <w:spacing w:before="0" w:after="102" w:line="187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pStyle w:val="843"/>
              <w:jc w:val="both"/>
              <w:spacing w:before="0" w:after="102" w:line="187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701"/>
        </w:trPr>
        <w:tc>
          <w:tcPr>
            <w:tcW w:w="3681" w:type="dxa"/>
            <w:vAlign w:val="center"/>
            <w:textDirection w:val="lrTb"/>
            <w:noWrap w:val="false"/>
          </w:tcPr>
          <w:p>
            <w:pPr>
              <w:pStyle w:val="843"/>
              <w:jc w:val="both"/>
              <w:spacing w:before="0" w:after="102" w:line="187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(юрист) отдела организационно-правового и кадрового обеспечения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43"/>
              <w:jc w:val="both"/>
              <w:spacing w:before="0" w:after="102" w:line="187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pStyle w:val="843"/>
              <w:jc w:val="both"/>
              <w:spacing w:before="0" w:after="102" w:line="187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r/>
      <w:r/>
    </w:p>
    <w:sectPr>
      <w:footnotePr/>
      <w:endnotePr/>
      <w:type w:val="nextPage"/>
      <w:pgSz w:w="11905" w:h="16838" w:orient="portrait"/>
      <w:pgMar w:top="1134" w:right="567" w:bottom="1134" w:left="1418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Segoe UI">
    <w:panose1 w:val="020B0502040504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pStyle w:val="857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3"/>
    <w:next w:val="843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basedOn w:val="844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3"/>
    <w:next w:val="843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basedOn w:val="844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3"/>
    <w:next w:val="843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basedOn w:val="844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3"/>
    <w:next w:val="843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basedOn w:val="844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3"/>
    <w:next w:val="843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basedOn w:val="844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3"/>
    <w:next w:val="843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basedOn w:val="844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3"/>
    <w:next w:val="843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basedOn w:val="844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3"/>
    <w:next w:val="843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basedOn w:val="844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3"/>
    <w:next w:val="843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basedOn w:val="844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No Spacing"/>
    <w:uiPriority w:val="1"/>
    <w:qFormat/>
    <w:pPr>
      <w:spacing w:before="0" w:after="0" w:line="240" w:lineRule="auto"/>
    </w:pPr>
  </w:style>
  <w:style w:type="paragraph" w:styleId="689">
    <w:name w:val="Title"/>
    <w:basedOn w:val="843"/>
    <w:next w:val="843"/>
    <w:link w:val="6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0">
    <w:name w:val="Title Char"/>
    <w:basedOn w:val="844"/>
    <w:link w:val="689"/>
    <w:uiPriority w:val="10"/>
    <w:rPr>
      <w:sz w:val="48"/>
      <w:szCs w:val="48"/>
    </w:rPr>
  </w:style>
  <w:style w:type="paragraph" w:styleId="691">
    <w:name w:val="Subtitle"/>
    <w:basedOn w:val="843"/>
    <w:next w:val="843"/>
    <w:link w:val="692"/>
    <w:uiPriority w:val="11"/>
    <w:qFormat/>
    <w:pPr>
      <w:spacing w:before="200" w:after="200"/>
    </w:pPr>
    <w:rPr>
      <w:sz w:val="24"/>
      <w:szCs w:val="24"/>
    </w:rPr>
  </w:style>
  <w:style w:type="character" w:styleId="692">
    <w:name w:val="Subtitle Char"/>
    <w:basedOn w:val="844"/>
    <w:link w:val="691"/>
    <w:uiPriority w:val="11"/>
    <w:rPr>
      <w:sz w:val="24"/>
      <w:szCs w:val="24"/>
    </w:rPr>
  </w:style>
  <w:style w:type="paragraph" w:styleId="693">
    <w:name w:val="Quote"/>
    <w:basedOn w:val="843"/>
    <w:next w:val="843"/>
    <w:link w:val="694"/>
    <w:uiPriority w:val="29"/>
    <w:qFormat/>
    <w:pPr>
      <w:ind w:left="720" w:right="720"/>
    </w:pPr>
    <w:rPr>
      <w:i/>
    </w:rPr>
  </w:style>
  <w:style w:type="character" w:styleId="694">
    <w:name w:val="Quote Char"/>
    <w:link w:val="693"/>
    <w:uiPriority w:val="29"/>
    <w:rPr>
      <w:i/>
    </w:rPr>
  </w:style>
  <w:style w:type="paragraph" w:styleId="695">
    <w:name w:val="Intense Quote"/>
    <w:basedOn w:val="843"/>
    <w:next w:val="843"/>
    <w:link w:val="69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>
    <w:name w:val="Intense Quote Char"/>
    <w:link w:val="695"/>
    <w:uiPriority w:val="30"/>
    <w:rPr>
      <w:i/>
    </w:rPr>
  </w:style>
  <w:style w:type="character" w:styleId="697">
    <w:name w:val="Header Char"/>
    <w:basedOn w:val="844"/>
    <w:link w:val="858"/>
    <w:uiPriority w:val="99"/>
  </w:style>
  <w:style w:type="character" w:styleId="698">
    <w:name w:val="Footer Char"/>
    <w:basedOn w:val="844"/>
    <w:link w:val="860"/>
    <w:uiPriority w:val="99"/>
  </w:style>
  <w:style w:type="paragraph" w:styleId="699">
    <w:name w:val="Caption"/>
    <w:basedOn w:val="843"/>
    <w:next w:val="84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0">
    <w:name w:val="Caption Char"/>
    <w:basedOn w:val="699"/>
    <w:link w:val="860"/>
    <w:uiPriority w:val="99"/>
  </w:style>
  <w:style w:type="table" w:styleId="701">
    <w:name w:val="Table Grid Light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4 - Accent 1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0">
    <w:name w:val="Grid Table 4 - Accent 2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1">
    <w:name w:val="Grid Table 4 - Accent 3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2">
    <w:name w:val="Grid Table 4 - Accent 4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3">
    <w:name w:val="Grid Table 4 - Accent 5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4">
    <w:name w:val="Grid Table 4 - Accent 6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5">
    <w:name w:val="Grid Table 5 Dark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2">
    <w:name w:val="Grid Table 6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3">
    <w:name w:val="Grid Table 6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4">
    <w:name w:val="Grid Table 6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5">
    <w:name w:val="Grid Table 6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6">
    <w:name w:val="Grid Table 6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7">
    <w:name w:val="Grid Table 6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6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7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4">
    <w:name w:val="List Table 2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5">
    <w:name w:val="List Table 2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6">
    <w:name w:val="List Table 2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7">
    <w:name w:val="List Table 2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8">
    <w:name w:val="List Table 2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9">
    <w:name w:val="List Table 2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6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2">
    <w:name w:val="List Table 6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3">
    <w:name w:val="List Table 6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List Table 6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5">
    <w:name w:val="List Table 6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List Table 6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7">
    <w:name w:val="List Table 6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8">
    <w:name w:val="List Table 7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9">
    <w:name w:val="List Table 7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0">
    <w:name w:val="List Table 7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1">
    <w:name w:val="List Table 7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2">
    <w:name w:val="List Table 7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3">
    <w:name w:val="List Table 7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4">
    <w:name w:val="List Table 7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5">
    <w:name w:val="Lined - Accent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Lined - Accent 1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7">
    <w:name w:val="Lined - Accent 2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8">
    <w:name w:val="Lined - Accent 3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9">
    <w:name w:val="Lined - Accent 4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0">
    <w:name w:val="Lined - Accent 5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1">
    <w:name w:val="Lined - Accent 6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2">
    <w:name w:val="Bordered &amp; Lined - Accent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Bordered &amp; Lined - Accent 1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4">
    <w:name w:val="Bordered &amp; Lined - Accent 2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5">
    <w:name w:val="Bordered &amp; Lined - Accent 3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6">
    <w:name w:val="Bordered &amp; Lined - Accent 4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7">
    <w:name w:val="Bordered &amp; Lined - Accent 5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8">
    <w:name w:val="Bordered &amp; Lined - Accent 6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9">
    <w:name w:val="Bordered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0">
    <w:name w:val="Bordered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1">
    <w:name w:val="Bordered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2">
    <w:name w:val="Bordered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3">
    <w:name w:val="Bordered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4">
    <w:name w:val="Bordered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5">
    <w:name w:val="Bordered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6">
    <w:name w:val="footnote text"/>
    <w:basedOn w:val="843"/>
    <w:link w:val="827"/>
    <w:uiPriority w:val="99"/>
    <w:semiHidden/>
    <w:unhideWhenUsed/>
    <w:pPr>
      <w:spacing w:after="40" w:line="240" w:lineRule="auto"/>
    </w:pPr>
    <w:rPr>
      <w:sz w:val="18"/>
    </w:rPr>
  </w:style>
  <w:style w:type="character" w:styleId="827">
    <w:name w:val="Footnote Text Char"/>
    <w:link w:val="826"/>
    <w:uiPriority w:val="99"/>
    <w:rPr>
      <w:sz w:val="18"/>
    </w:rPr>
  </w:style>
  <w:style w:type="character" w:styleId="828">
    <w:name w:val="footnote reference"/>
    <w:basedOn w:val="844"/>
    <w:uiPriority w:val="99"/>
    <w:unhideWhenUsed/>
    <w:rPr>
      <w:vertAlign w:val="superscript"/>
    </w:rPr>
  </w:style>
  <w:style w:type="paragraph" w:styleId="829">
    <w:name w:val="endnote text"/>
    <w:basedOn w:val="843"/>
    <w:link w:val="830"/>
    <w:uiPriority w:val="99"/>
    <w:semiHidden/>
    <w:unhideWhenUsed/>
    <w:pPr>
      <w:spacing w:after="0" w:line="240" w:lineRule="auto"/>
    </w:pPr>
    <w:rPr>
      <w:sz w:val="20"/>
    </w:rPr>
  </w:style>
  <w:style w:type="character" w:styleId="830">
    <w:name w:val="Endnote Text Char"/>
    <w:link w:val="829"/>
    <w:uiPriority w:val="99"/>
    <w:rPr>
      <w:sz w:val="20"/>
    </w:rPr>
  </w:style>
  <w:style w:type="character" w:styleId="831">
    <w:name w:val="endnote reference"/>
    <w:basedOn w:val="844"/>
    <w:uiPriority w:val="99"/>
    <w:semiHidden/>
    <w:unhideWhenUsed/>
    <w:rPr>
      <w:vertAlign w:val="superscript"/>
    </w:rPr>
  </w:style>
  <w:style w:type="paragraph" w:styleId="832">
    <w:name w:val="toc 1"/>
    <w:basedOn w:val="843"/>
    <w:next w:val="843"/>
    <w:uiPriority w:val="39"/>
    <w:unhideWhenUsed/>
    <w:pPr>
      <w:ind w:left="0" w:right="0" w:firstLine="0"/>
      <w:spacing w:after="57"/>
    </w:pPr>
  </w:style>
  <w:style w:type="paragraph" w:styleId="833">
    <w:name w:val="toc 2"/>
    <w:basedOn w:val="843"/>
    <w:next w:val="843"/>
    <w:uiPriority w:val="39"/>
    <w:unhideWhenUsed/>
    <w:pPr>
      <w:ind w:left="283" w:right="0" w:firstLine="0"/>
      <w:spacing w:after="57"/>
    </w:pPr>
  </w:style>
  <w:style w:type="paragraph" w:styleId="834">
    <w:name w:val="toc 3"/>
    <w:basedOn w:val="843"/>
    <w:next w:val="843"/>
    <w:uiPriority w:val="39"/>
    <w:unhideWhenUsed/>
    <w:pPr>
      <w:ind w:left="567" w:right="0" w:firstLine="0"/>
      <w:spacing w:after="57"/>
    </w:pPr>
  </w:style>
  <w:style w:type="paragraph" w:styleId="835">
    <w:name w:val="toc 4"/>
    <w:basedOn w:val="843"/>
    <w:next w:val="843"/>
    <w:uiPriority w:val="39"/>
    <w:unhideWhenUsed/>
    <w:pPr>
      <w:ind w:left="850" w:right="0" w:firstLine="0"/>
      <w:spacing w:after="57"/>
    </w:pPr>
  </w:style>
  <w:style w:type="paragraph" w:styleId="836">
    <w:name w:val="toc 5"/>
    <w:basedOn w:val="843"/>
    <w:next w:val="843"/>
    <w:uiPriority w:val="39"/>
    <w:unhideWhenUsed/>
    <w:pPr>
      <w:ind w:left="1134" w:right="0" w:firstLine="0"/>
      <w:spacing w:after="57"/>
    </w:pPr>
  </w:style>
  <w:style w:type="paragraph" w:styleId="837">
    <w:name w:val="toc 6"/>
    <w:basedOn w:val="843"/>
    <w:next w:val="843"/>
    <w:uiPriority w:val="39"/>
    <w:unhideWhenUsed/>
    <w:pPr>
      <w:ind w:left="1417" w:right="0" w:firstLine="0"/>
      <w:spacing w:after="57"/>
    </w:pPr>
  </w:style>
  <w:style w:type="paragraph" w:styleId="838">
    <w:name w:val="toc 7"/>
    <w:basedOn w:val="843"/>
    <w:next w:val="843"/>
    <w:uiPriority w:val="39"/>
    <w:unhideWhenUsed/>
    <w:pPr>
      <w:ind w:left="1701" w:right="0" w:firstLine="0"/>
      <w:spacing w:after="57"/>
    </w:pPr>
  </w:style>
  <w:style w:type="paragraph" w:styleId="839">
    <w:name w:val="toc 8"/>
    <w:basedOn w:val="843"/>
    <w:next w:val="843"/>
    <w:uiPriority w:val="39"/>
    <w:unhideWhenUsed/>
    <w:pPr>
      <w:ind w:left="1984" w:right="0" w:firstLine="0"/>
      <w:spacing w:after="57"/>
    </w:pPr>
  </w:style>
  <w:style w:type="paragraph" w:styleId="840">
    <w:name w:val="toc 9"/>
    <w:basedOn w:val="843"/>
    <w:next w:val="843"/>
    <w:uiPriority w:val="39"/>
    <w:unhideWhenUsed/>
    <w:pPr>
      <w:ind w:left="2268" w:right="0" w:firstLine="0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843"/>
    <w:next w:val="843"/>
    <w:uiPriority w:val="99"/>
    <w:unhideWhenUsed/>
    <w:pPr>
      <w:spacing w:after="0" w:afterAutospacing="0"/>
    </w:pPr>
  </w:style>
  <w:style w:type="paragraph" w:styleId="843" w:default="1">
    <w:name w:val="Normal"/>
    <w:qFormat/>
  </w:style>
  <w:style w:type="character" w:styleId="844" w:default="1">
    <w:name w:val="Default Paragraph Font"/>
    <w:uiPriority w:val="1"/>
    <w:semiHidden/>
    <w:unhideWhenUsed/>
  </w:style>
  <w:style w:type="table" w:styleId="8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6" w:default="1">
    <w:name w:val="No List"/>
    <w:uiPriority w:val="99"/>
    <w:semiHidden/>
    <w:unhideWhenUsed/>
  </w:style>
  <w:style w:type="paragraph" w:styleId="847">
    <w:name w:val="List Paragraph"/>
    <w:basedOn w:val="843"/>
    <w:uiPriority w:val="34"/>
    <w:qFormat/>
    <w:pPr>
      <w:contextualSpacing/>
      <w:ind w:left="720"/>
    </w:pPr>
  </w:style>
  <w:style w:type="paragraph" w:styleId="848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49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50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table" w:styleId="851">
    <w:name w:val="Table Grid"/>
    <w:basedOn w:val="84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52">
    <w:name w:val="Hyperlink"/>
    <w:basedOn w:val="844"/>
    <w:uiPriority w:val="99"/>
    <w:unhideWhenUsed/>
    <w:rPr>
      <w:color w:val="0563c1" w:themeColor="hyperlink"/>
      <w:u w:val="single"/>
    </w:rPr>
  </w:style>
  <w:style w:type="paragraph" w:styleId="853">
    <w:name w:val="Balloon Text"/>
    <w:basedOn w:val="843"/>
    <w:link w:val="85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4" w:customStyle="1">
    <w:name w:val="Текст выноски Знак"/>
    <w:basedOn w:val="844"/>
    <w:link w:val="853"/>
    <w:uiPriority w:val="99"/>
    <w:semiHidden/>
    <w:rPr>
      <w:rFonts w:ascii="Segoe UI" w:hAnsi="Segoe UI" w:cs="Segoe UI"/>
      <w:sz w:val="18"/>
      <w:szCs w:val="18"/>
    </w:rPr>
  </w:style>
  <w:style w:type="paragraph" w:styleId="855">
    <w:name w:val="Normal (Web)"/>
    <w:basedOn w:val="843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6" w:customStyle="1">
    <w:name w:val="ConsPlusCell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57">
    <w:name w:val="List Bullet"/>
    <w:basedOn w:val="843"/>
    <w:uiPriority w:val="99"/>
    <w:unhideWhenUsed/>
    <w:pPr>
      <w:numPr>
        <w:ilvl w:val="0"/>
        <w:numId w:val="7"/>
      </w:numPr>
      <w:contextualSpacing/>
    </w:pPr>
  </w:style>
  <w:style w:type="paragraph" w:styleId="858">
    <w:name w:val="Header"/>
    <w:basedOn w:val="843"/>
    <w:link w:val="85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9" w:customStyle="1">
    <w:name w:val="Верхний колонтитул Знак"/>
    <w:basedOn w:val="844"/>
    <w:link w:val="858"/>
    <w:uiPriority w:val="99"/>
  </w:style>
  <w:style w:type="paragraph" w:styleId="860">
    <w:name w:val="Footer"/>
    <w:basedOn w:val="843"/>
    <w:link w:val="86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1" w:customStyle="1">
    <w:name w:val="Нижний колонтитул Знак"/>
    <w:basedOn w:val="844"/>
    <w:link w:val="860"/>
    <w:uiPriority w:val="99"/>
  </w:style>
  <w:style w:type="character" w:styleId="862">
    <w:name w:val="annotation reference"/>
    <w:basedOn w:val="844"/>
    <w:uiPriority w:val="99"/>
    <w:semiHidden/>
    <w:unhideWhenUsed/>
    <w:rPr>
      <w:sz w:val="16"/>
      <w:szCs w:val="16"/>
    </w:rPr>
  </w:style>
  <w:style w:type="paragraph" w:styleId="863">
    <w:name w:val="annotation text"/>
    <w:basedOn w:val="843"/>
    <w:link w:val="864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64" w:customStyle="1">
    <w:name w:val="Текст примечания Знак"/>
    <w:basedOn w:val="844"/>
    <w:link w:val="863"/>
    <w:uiPriority w:val="99"/>
    <w:semiHidden/>
    <w:rPr>
      <w:sz w:val="20"/>
      <w:szCs w:val="20"/>
    </w:rPr>
  </w:style>
  <w:style w:type="paragraph" w:styleId="865">
    <w:name w:val="annotation subject"/>
    <w:basedOn w:val="863"/>
    <w:next w:val="863"/>
    <w:link w:val="866"/>
    <w:uiPriority w:val="99"/>
    <w:semiHidden/>
    <w:unhideWhenUsed/>
    <w:rPr>
      <w:b/>
      <w:bCs/>
    </w:rPr>
  </w:style>
  <w:style w:type="character" w:styleId="866" w:customStyle="1">
    <w:name w:val="Тема примечания Знак"/>
    <w:basedOn w:val="864"/>
    <w:link w:val="865"/>
    <w:uiPriority w:val="99"/>
    <w:semiHidden/>
    <w:rPr>
      <w:b/>
      <w:bCs/>
      <w:sz w:val="20"/>
      <w:szCs w:val="20"/>
    </w:rPr>
  </w:style>
  <w:style w:type="paragraph" w:styleId="867" w:customStyle="1">
    <w:name w:val="ConsNormal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647" w:customStyle="1">
    <w:name w:val="Абзац списка1"/>
    <w:basedOn w:val="617"/>
    <w:pPr>
      <w:contextualSpacing/>
      <w:ind w:left="720" w:right="0" w:firstLine="0"/>
      <w:jc w:val="left"/>
      <w:keepLines w:val="0"/>
      <w:keepNext w:val="0"/>
      <w:pageBreakBefore w:val="0"/>
      <w:spacing w:before="0" w:beforeAutospacing="0" w:after="200" w:afterAutospacing="0" w:line="27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0D7D1-E586-4188-8218-14811A9A7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Правительство Новосибирской области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Простяков Игорь Геннадьевич</dc:creator>
  <cp:keywords/>
  <dc:description/>
  <cp:revision>12</cp:revision>
  <dcterms:created xsi:type="dcterms:W3CDTF">2020-05-22T04:45:00Z</dcterms:created>
  <dcterms:modified xsi:type="dcterms:W3CDTF">2024-11-08T05:02:29Z</dcterms:modified>
</cp:coreProperties>
</file>