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</w:r>
      <w:r>
        <w:rPr>
          <w:rFonts w:ascii="Times New Roman" w:hAnsi="Times New Roman" w:cs="Times New Roman"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Правительства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01.04.2015 № 126-п»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1"/>
        <w:ind w:firstLine="709"/>
        <w:jc w:val="both"/>
      </w:pPr>
      <w: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01.04.2015 № 126-п»</w:t>
      </w:r>
      <w:r>
        <w:rPr>
          <w:highlight w:val="white"/>
        </w:rPr>
        <w:t xml:space="preserve"> (далее – проект постановления) разработа</w:t>
      </w:r>
      <w:r>
        <w:t xml:space="preserve">н</w:t>
      </w:r>
      <w:r>
        <w:rPr>
          <w:highlight w:val="white"/>
        </w:rPr>
        <w:t xml:space="preserve"> </w:t>
      </w:r>
      <w:r>
        <w:t xml:space="preserve">в целях финансового обеспечения затрат Фонда содействия разв</w:t>
      </w:r>
      <w:r>
        <w:t xml:space="preserve">итию научно-технологической сферы Новосибирской области (далее – Фонд) на создание и обеспечение работы постоянно действующей региональной экспозиции – филиала Национального центра «Россия» на территории Новосибирской области, в соответствии с пунктом 2 ст</w:t>
      </w:r>
      <w:r>
        <w:t xml:space="preserve">атьи 78.1 Бюджетного кодекса Российской Федерации, постановлением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</w:t>
      </w:r>
      <w:r>
        <w:t xml:space="preserve">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</w:t>
      </w:r>
      <w:r>
        <w:t xml:space="preserve">убсидий, в том числе грантов в форме субсидий».</w:t>
      </w:r>
      <w:r/>
    </w:p>
    <w:p>
      <w:pPr>
        <w:pStyle w:val="881"/>
        <w:ind w:firstLine="709"/>
        <w:jc w:val="both"/>
      </w:pPr>
      <w:r>
        <w:t xml:space="preserve">Проектом постановления предлагается внести изменения в постановление Правительства Новосибирской области от 01.04.2015 № 126-п «О государственной программе Новосибирской области </w:t>
      </w:r>
      <w:r>
        <w:t xml:space="preserve">«Стимулирование инвестиционной активности в Новосибирской области» (далее – государственная программа), дополнив его приложением № 27</w:t>
      </w:r>
      <w:r>
        <w:t xml:space="preserve"> «Порядок предоставления субсидии из областного бюджета Новосибирской области Фонду содействия развитию научно-технологичес</w:t>
      </w:r>
      <w:r>
        <w:t xml:space="preserve">кой сферы Новосибирской области на финансовое обеспечение затрат по созданию и обеспечению работы постоянно действующей региональной экспозиции – филиала Национального центра «Россия» на территории Новосибирской области</w:t>
      </w:r>
      <w:r>
        <w:rPr>
          <w:rFonts w:eastAsia="Times New Roman"/>
        </w:rPr>
        <w:t xml:space="preserve">»</w:t>
      </w:r>
      <w:r>
        <w:t xml:space="preserve">. </w:t>
      </w:r>
      <w:r/>
    </w:p>
    <w:p>
      <w:pPr>
        <w:pStyle w:val="881"/>
        <w:ind w:firstLine="709"/>
        <w:jc w:val="both"/>
      </w:pPr>
      <w:r>
        <w:t xml:space="preserve">Порядок регламентирует предоставл</w:t>
      </w:r>
      <w:r>
        <w:t xml:space="preserve">ение субсидии из областного бюджета Фонду в рамках реализации мероприятий государственной программы. </w:t>
      </w:r>
      <w:bookmarkStart w:id="0" w:name="undefined"/>
      <w:r/>
      <w:bookmarkEnd w:id="0"/>
      <w:r>
        <w:t xml:space="preserve">Субсидия из областного бюджета Новосибирской области предоставляется Фонду в целях финансового обеспечения затрат по созданию и обеспечению работы постоянн</w:t>
      </w:r>
      <w:r>
        <w:t xml:space="preserve">о действующей региональной экспозиции – филиала Национального центра «Россия» на территории Новосибирской области.</w:t>
      </w:r>
      <w:r/>
    </w:p>
    <w:p>
      <w:pPr>
        <w:pStyle w:val="881"/>
        <w:ind w:firstLine="709"/>
        <w:jc w:val="both"/>
      </w:pPr>
      <w:r>
        <w:rPr>
          <w:bCs/>
        </w:rPr>
        <w:t xml:space="preserve">Объем доведенных лимитов Минэкономразвития НСО в соответствии с Законом Новосибирской области от 20.12.2024 № 546-ОЗ «Об областном бюджете Новосибирской области на 2025 год и плановый период 2026 и 2027 годов» (далее –</w:t>
      </w:r>
      <w:r>
        <w:t xml:space="preserve"> Закон об областном бюджете) </w:t>
      </w:r>
      <w:r>
        <w:rPr>
          <w:bCs/>
        </w:rPr>
        <w:t xml:space="preserve">в рамках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</w:t>
      </w:r>
      <w:r>
        <w:rPr>
          <w:bCs/>
        </w:rPr>
        <w:t xml:space="preserve">Новосибирской области от 01.04.2015 № 126-п «Об утверждении государствен</w:t>
      </w:r>
      <w:r>
        <w:rPr>
          <w:bCs/>
        </w:rPr>
        <w:t xml:space="preserve">ной программы Новосибирской области «Стимулирование инвестиционной активности в Новосибирской области» (далее – государственная программа) на мероприятие «Организация привлечения инвестиций на территорию Новосибирской области» КБК 123 0412 1530204090 244 с</w:t>
      </w:r>
      <w:r>
        <w:t xml:space="preserve">оставляет 102 330,2 тыс. рублей, из которых 73 700,0 тыс. рублей предусмотрено на создание и обеспечение работы постоянно действующей региональной экспозиции – филиала Национального центра «Россия» на территории Новосибирской области. </w:t>
      </w:r>
      <w:r/>
    </w:p>
    <w:p>
      <w:pPr>
        <w:pStyle w:val="881"/>
        <w:ind w:firstLine="709"/>
        <w:jc w:val="both"/>
      </w:pPr>
      <w:r>
        <w:t xml:space="preserve">Минэкономразвития НСО направлен запрос (от 10.01.2025 № 17-13/8-Вн) в адрес министерства финансов и налоговой политики Новосибирской области об уменьшении бюджетных ассигнований </w:t>
      </w:r>
      <w:r>
        <w:rPr>
          <w:bCs/>
        </w:rPr>
        <w:t xml:space="preserve">на сумму 73 700,0 тыс. рублей </w:t>
      </w:r>
      <w:r>
        <w:t xml:space="preserve">по </w:t>
      </w:r>
      <w:r>
        <w:rPr>
          <w:bCs/>
        </w:rPr>
        <w:t xml:space="preserve">КБК 123 0412 1530204090 244 и увеличении бюджетных ассигнований на сумму 73 700,0 тыс. рублей по КБК 123 0412 1530204090 633 </w:t>
      </w:r>
      <w:r>
        <w:t xml:space="preserve">в рамках очередного внесения изменений в Закон об областном бюджете</w:t>
      </w:r>
      <w:r>
        <w:rPr>
          <w:bCs/>
        </w:rPr>
        <w:t xml:space="preserve">, что связано с разработкой Порядка </w:t>
      </w:r>
      <w:r>
        <w:t xml:space="preserve">предоставления субсидии из областного бюджета Новосибирской области Фонду сод</w:t>
      </w:r>
      <w:r>
        <w:t xml:space="preserve">ействия развитию научно-технологической сферы Новосибирской области на финансовое обеспечение затрат по созданию и обеспечению работы постоянно действующей региональной экспозиции – филиала Национального центра «Россия» на территории Новосибирской области.</w:t>
      </w:r>
      <w:r/>
    </w:p>
    <w:p>
      <w:pPr>
        <w:pStyle w:val="881"/>
        <w:ind w:firstLine="709"/>
        <w:jc w:val="both"/>
      </w:pPr>
      <w:r>
        <w:t xml:space="preserve">В соответствии со статьей 242.27 Бюджетного кодекса Российской Федерации казначейскому сопровождению не подлежат средства, предоставляемые со</w:t>
      </w:r>
      <w:r>
        <w:t xml:space="preserve">циально-ориентированным некоммерческим организациям (далее – СОНКО). Согласно информации, содержащейся на официальном сайте data.economy.gov.ru, Фонд включен в реестр СОНКО 30 августа 2023 года. </w:t>
      </w:r>
      <w:r/>
    </w:p>
    <w:p>
      <w:pPr>
        <w:pStyle w:val="881"/>
        <w:ind w:firstLine="709"/>
        <w:jc w:val="both"/>
      </w:pPr>
      <w:r>
        <w:t xml:space="preserve">Учитывая вышеизложенное, субсидия, предоставляемая министерс</w:t>
      </w:r>
      <w:r>
        <w:t xml:space="preserve">твом экономического развития Новосибирской области Фонду, не подлежит казначейскому сопровождению.</w:t>
      </w:r>
      <w:r/>
    </w:p>
    <w:p>
      <w:pPr>
        <w:pStyle w:val="881"/>
        <w:ind w:firstLine="709"/>
        <w:jc w:val="both"/>
        <w:rPr>
          <w:spacing w:val="-2"/>
        </w:rPr>
      </w:pPr>
      <w:r>
        <w:t xml:space="preserve">Проект постановления не подлежит оценке регулирующего воздействия, поскольку не устанавливает</w:t>
      </w:r>
      <w:r>
        <w:rPr>
          <w:spacing w:val="-2"/>
        </w:rPr>
        <w:t xml:space="preserve"> новые и не изменяет ранее предусмотренные нормативными правовым</w:t>
      </w:r>
      <w:r>
        <w:rPr>
          <w:spacing w:val="-2"/>
        </w:rPr>
        <w:t xml:space="preserve">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</w:t>
      </w:r>
      <w:r>
        <w:rPr>
          <w:spacing w:val="-2"/>
        </w:rPr>
        <w:t xml:space="preserve">и, затрагивающих вопросы осуществления предпринимательской и инвестиционной деятельности.</w:t>
      </w:r>
      <w:r>
        <w:rPr>
          <w:spacing w:val="-2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81"/>
        <w:ind w:firstLine="709"/>
        <w:jc w:val="both"/>
      </w:pPr>
      <w:r/>
      <w:r/>
    </w:p>
    <w:p>
      <w:pPr>
        <w:pStyle w:val="881"/>
        <w:jc w:val="both"/>
      </w:pPr>
      <w:r/>
      <w:r/>
    </w:p>
    <w:p>
      <w:pPr>
        <w:pStyle w:val="881"/>
        <w:jc w:val="both"/>
      </w:pPr>
      <w:r/>
      <w:r/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blPrEx/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Л. Н. Решетников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bookmarkStart w:id="1" w:name="_GoBack"/>
      <w:r/>
      <w:bookmarkEnd w:id="1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Е.И. Законнова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238-67-57</w:t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992" w:right="567" w:bottom="993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</w:style>
  <w:style w:type="paragraph" w:styleId="684">
    <w:name w:val="Heading 1"/>
    <w:basedOn w:val="683"/>
    <w:next w:val="683"/>
    <w:link w:val="71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71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71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Caption Char"/>
    <w:basedOn w:val="693"/>
    <w:uiPriority w:val="35"/>
    <w:rPr>
      <w:b/>
      <w:bCs/>
      <w:color w:val="4f81bd" w:themeColor="accent1"/>
      <w:sz w:val="18"/>
      <w:szCs w:val="18"/>
    </w:rPr>
  </w:style>
  <w:style w:type="character" w:styleId="697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3"/>
    <w:uiPriority w:val="10"/>
    <w:rPr>
      <w:sz w:val="48"/>
      <w:szCs w:val="48"/>
    </w:rPr>
  </w:style>
  <w:style w:type="character" w:styleId="707" w:customStyle="1">
    <w:name w:val="Subtitle Char"/>
    <w:basedOn w:val="693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Название объекта Знак"/>
    <w:link w:val="735"/>
    <w:uiPriority w:val="99"/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3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3"/>
    <w:next w:val="683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Заголовок Знак"/>
    <w:basedOn w:val="693"/>
    <w:link w:val="724"/>
    <w:uiPriority w:val="10"/>
    <w:rPr>
      <w:sz w:val="48"/>
      <w:szCs w:val="48"/>
    </w:rPr>
  </w:style>
  <w:style w:type="paragraph" w:styleId="726">
    <w:name w:val="Subtitle"/>
    <w:basedOn w:val="683"/>
    <w:next w:val="683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693"/>
    <w:link w:val="726"/>
    <w:uiPriority w:val="11"/>
    <w:rPr>
      <w:sz w:val="24"/>
      <w:szCs w:val="24"/>
    </w:rPr>
  </w:style>
  <w:style w:type="paragraph" w:styleId="728">
    <w:name w:val="Quote"/>
    <w:basedOn w:val="683"/>
    <w:next w:val="683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3"/>
    <w:next w:val="683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3"/>
    <w:uiPriority w:val="99"/>
  </w:style>
  <w:style w:type="paragraph" w:styleId="733">
    <w:name w:val="Footer"/>
    <w:basedOn w:val="6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693"/>
    <w:uiPriority w:val="99"/>
  </w:style>
  <w:style w:type="paragraph" w:styleId="735">
    <w:name w:val="Caption"/>
    <w:basedOn w:val="683"/>
    <w:next w:val="683"/>
    <w:link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3">
    <w:name w:val="footnote text"/>
    <w:basedOn w:val="683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93"/>
    <w:uiPriority w:val="99"/>
    <w:unhideWhenUsed/>
    <w:rPr>
      <w:vertAlign w:val="superscript"/>
    </w:rPr>
  </w:style>
  <w:style w:type="paragraph" w:styleId="866">
    <w:name w:val="endnote text"/>
    <w:basedOn w:val="683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93"/>
    <w:uiPriority w:val="99"/>
    <w:semiHidden/>
    <w:unhideWhenUsed/>
    <w:rPr>
      <w:vertAlign w:val="superscript"/>
    </w:rPr>
  </w:style>
  <w:style w:type="paragraph" w:styleId="869">
    <w:name w:val="toc 1"/>
    <w:basedOn w:val="683"/>
    <w:next w:val="683"/>
    <w:uiPriority w:val="39"/>
    <w:unhideWhenUsed/>
    <w:pPr>
      <w:spacing w:after="57"/>
    </w:pPr>
  </w:style>
  <w:style w:type="paragraph" w:styleId="87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7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7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7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7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7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7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7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83"/>
    <w:next w:val="683"/>
    <w:uiPriority w:val="99"/>
    <w:unhideWhenUsed/>
    <w:pPr>
      <w:spacing w:after="0"/>
    </w:pPr>
  </w:style>
  <w:style w:type="paragraph" w:styleId="880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1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82">
    <w:name w:val="Header"/>
    <w:basedOn w:val="68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93"/>
    <w:link w:val="882"/>
    <w:uiPriority w:val="99"/>
  </w:style>
  <w:style w:type="character" w:styleId="884">
    <w:name w:val="Hyperlink"/>
    <w:basedOn w:val="693"/>
    <w:uiPriority w:val="99"/>
    <w:unhideWhenUsed/>
    <w:rPr>
      <w:color w:val="0000ff" w:themeColor="hyperlink"/>
      <w:u w:val="single"/>
    </w:rPr>
  </w:style>
  <w:style w:type="paragraph" w:styleId="885">
    <w:name w:val="Balloon Text"/>
    <w:basedOn w:val="683"/>
    <w:link w:val="8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basedOn w:val="693"/>
    <w:link w:val="885"/>
    <w:uiPriority w:val="99"/>
    <w:semiHidden/>
    <w:rPr>
      <w:rFonts w:ascii="Segoe UI" w:hAnsi="Segoe UI" w:cs="Segoe UI"/>
      <w:sz w:val="18"/>
      <w:szCs w:val="18"/>
    </w:rPr>
  </w:style>
  <w:style w:type="paragraph" w:styleId="887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zeiv@NSO.LOC</cp:lastModifiedBy>
  <cp:revision>12</cp:revision>
  <dcterms:created xsi:type="dcterms:W3CDTF">2024-10-08T05:13:00Z</dcterms:created>
  <dcterms:modified xsi:type="dcterms:W3CDTF">2025-01-16T07:48:21Z</dcterms:modified>
</cp:coreProperties>
</file>