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rPr>
          <w:szCs w:val="28"/>
        </w:rPr>
      </w:pPr>
      <w:r>
        <w:rPr>
          <w:szCs w:val="28"/>
        </w:rPr>
        <w:t xml:space="preserve">МИНИСТЕРСТВО ЭКОНОМИЧЕСКОГО РАЗВИТИЯ </w:t>
      </w:r>
      <w:r>
        <w:rPr>
          <w:szCs w:val="28"/>
        </w:rPr>
      </w:r>
      <w:r>
        <w:rPr>
          <w:szCs w:val="28"/>
        </w:rPr>
      </w:r>
    </w:p>
    <w:p>
      <w:pPr>
        <w:pStyle w:val="904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697"/>
        <w:rPr>
          <w:b/>
          <w:spacing w:val="-2"/>
        </w:rPr>
      </w:pPr>
      <w:r>
        <w:rPr>
          <w:b/>
          <w:spacing w:val="-2"/>
        </w:rPr>
      </w:r>
      <w:r>
        <w:rPr>
          <w:b/>
          <w:spacing w:val="-2"/>
        </w:rPr>
      </w:r>
      <w:r>
        <w:rPr>
          <w:b/>
          <w:spacing w:val="-2"/>
        </w:rPr>
      </w:r>
    </w:p>
    <w:p>
      <w:pPr>
        <w:pStyle w:val="697"/>
        <w:rPr>
          <w:b/>
          <w:spacing w:val="-2"/>
        </w:rPr>
      </w:pPr>
      <w:r>
        <w:rPr>
          <w:b/>
          <w:spacing w:val="-2"/>
        </w:rPr>
        <w:t xml:space="preserve">ФИНАНСОВО-ЭКОНОМИЧЕСКОЕ ОБОСНОВАНИЕ</w:t>
      </w:r>
      <w:r>
        <w:rPr>
          <w:b/>
          <w:spacing w:val="-2"/>
        </w:rPr>
      </w:r>
      <w:r>
        <w:rPr>
          <w:b/>
          <w:spacing w:val="-2"/>
        </w:rPr>
      </w:r>
    </w:p>
    <w:p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</w:p>
    <w:p>
      <w:pPr>
        <w:ind w:left="10" w:hanging="10"/>
        <w:jc w:val="center"/>
        <w:spacing w:line="322" w:lineRule="exact"/>
        <w:shd w:val="clear" w:color="auto" w:fill="ffffff"/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 xml:space="preserve">к проекту постановления Правительства Новосибирской области</w:t>
      </w:r>
      <w:r>
        <w:rPr>
          <w:b/>
          <w:bCs/>
          <w:spacing w:val="-2"/>
          <w:sz w:val="28"/>
        </w:rPr>
      </w:r>
      <w:r>
        <w:rPr>
          <w:b/>
          <w:bCs/>
          <w:spacing w:val="-2"/>
          <w:sz w:val="28"/>
        </w:rPr>
      </w:r>
    </w:p>
    <w:p>
      <w:pPr>
        <w:ind w:firstLine="2"/>
        <w:jc w:val="center"/>
        <w:tabs>
          <w:tab w:val="left" w:pos="1276" w:leader="none"/>
        </w:tabs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 xml:space="preserve">«О внесении изменений в постановление Правительства Новосибирской области от 01.04.2015 № 126-п»</w:t>
      </w:r>
      <w:r>
        <w:rPr>
          <w:b/>
          <w:bCs/>
          <w:spacing w:val="-2"/>
          <w:sz w:val="28"/>
        </w:rPr>
      </w:r>
      <w:r>
        <w:rPr>
          <w:b/>
          <w:bCs/>
          <w:spacing w:val="-2"/>
          <w:sz w:val="28"/>
        </w:rPr>
      </w:r>
    </w:p>
    <w:p>
      <w:pPr>
        <w:jc w:val="both"/>
        <w:tabs>
          <w:tab w:val="left" w:pos="-666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tabs>
          <w:tab w:val="left" w:pos="-666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от 01.04.2015 № 126-п» (далее – проект постановления) разработан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обеспечения затрат </w:t>
      </w:r>
      <w:r>
        <w:rPr>
          <w:rFonts w:ascii="Times New Roman" w:hAnsi="Times New Roman" w:cs="Times New Roman"/>
          <w:sz w:val="27"/>
          <w:szCs w:val="27"/>
        </w:rPr>
        <w:t xml:space="preserve">автономной некоммерческой организации «Центр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содействия развитию предпринимательства Новосибирской области»</w:t>
      </w:r>
      <w:r>
        <w:rPr>
          <w:rFonts w:ascii="Times New Roman" w:hAnsi="Times New Roman" w:cs="Times New Roman"/>
          <w:sz w:val="27"/>
          <w:szCs w:val="27"/>
        </w:rPr>
        <w:t xml:space="preserve"> (далее – ЦМП АНО «ЦСРП НСО»)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организацию и обеспечение деятельности Центра поддержки экспорта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sz w:val="28"/>
          <w:szCs w:val="28"/>
          <w:highlight w:val="none"/>
        </w:rPr>
        <w:t xml:space="preserve">78.1</w:t>
      </w:r>
      <w:r>
        <w:rPr>
          <w:rFonts w:ascii="Times New Roman" w:hAnsi="Times New Roman"/>
          <w:sz w:val="28"/>
          <w:szCs w:val="28"/>
          <w:highlight w:val="none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на основании постановлени</w:t>
      </w:r>
      <w:r>
        <w:rPr>
          <w:rFonts w:ascii="Times New Roman" w:hAnsi="Times New Roman"/>
          <w:sz w:val="28"/>
          <w:szCs w:val="28"/>
        </w:rPr>
        <w:t xml:space="preserve">я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 25.10.2023 № 1782 «Об </w:t>
      </w:r>
      <w:r>
        <w:rPr>
          <w:rFonts w:ascii="Times New Roman" w:hAnsi="Times New Roman"/>
          <w:sz w:val="28"/>
          <w:szCs w:val="28"/>
        </w:rPr>
        <w:t xml:space="preserve">утверждении общих требований к нормативным правовым актам, муниципальным правовым актам, регулирующим предоставление из бюджетов </w:t>
      </w:r>
      <w:r>
        <w:rPr>
          <w:rFonts w:ascii="Times New Roman" w:hAnsi="Times New Roman"/>
          <w:sz w:val="28"/>
          <w:szCs w:val="28"/>
        </w:rPr>
        <w:t xml:space="preserve">субъектов Российской Федерации, местных бюджетов субсидий, в том числе грантов в</w:t>
      </w:r>
      <w:r>
        <w:rPr>
          <w:rFonts w:ascii="Times New Roman" w:hAnsi="Times New Roman"/>
          <w:sz w:val="28"/>
          <w:szCs w:val="28"/>
          <w:highlight w:val="none"/>
        </w:rPr>
        <w:t xml:space="preserve">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</w:t>
      </w:r>
      <w:r>
        <w:rPr>
          <w:rFonts w:ascii="Times New Roman" w:hAnsi="Times New Roman"/>
          <w:sz w:val="28"/>
          <w:szCs w:val="28"/>
          <w:highlight w:val="none"/>
        </w:rPr>
        <w:t xml:space="preserve">субсидий, в том числе грантов в </w:t>
      </w:r>
      <w:r>
        <w:rPr>
          <w:rFonts w:ascii="Times New Roman" w:hAnsi="Times New Roman"/>
          <w:sz w:val="28"/>
          <w:szCs w:val="28"/>
          <w:highlight w:val="none"/>
        </w:rPr>
        <w:t xml:space="preserve">форме субсидий»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Законом Новосибирской области от 02.07.2008 № 245-ОЗ «О развитии малого и среднего предпринимательства в Новосибирской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разработки проекта постановления являются следующие полномочия министерства экономического развития Новосибирской области (далее – МЭР НСО):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</w:t>
      </w:r>
      <w:r>
        <w:rPr>
          <w:rFonts w:eastAsia="Calibri"/>
          <w:sz w:val="28"/>
          <w:szCs w:val="28"/>
        </w:rPr>
        <w:t xml:space="preserve">подготовка правовых актов Правительства Новосибирской области в установленной сфере деятельности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 </w:t>
      </w:r>
      <w:r>
        <w:rPr>
          <w:sz w:val="28"/>
          <w:szCs w:val="28"/>
        </w:rPr>
        <w:t xml:space="preserve">реализация мероприятий, обеспечивающих достижение целей, показателей и результатов региональной составляющей национального проекта «Международная кооперация и экспорт» на территории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проекта постановления обусловлена 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изменений в порядке предоставления субсидии на финансовое обеспечение деятельности Центра поддержки экспорта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 xml:space="preserve">ЦПЭ), созданного в структуре автономной некоммерческой организации «Центр содействия развитию предпринимательства Новосиби</w:t>
      </w:r>
      <w:r>
        <w:rPr>
          <w:rFonts w:ascii="Times New Roman" w:hAnsi="Times New Roman" w:cs="Times New Roman"/>
          <w:sz w:val="28"/>
          <w:szCs w:val="28"/>
        </w:rPr>
        <w:t xml:space="preserve">рской области» (далее – АНО «ЦСРП НСО»).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Ранее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ЦПЭ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осуществлялось за счет средств областного бюджета, предоставляемых в виде субсидии министерством промышленности, торговли и развития предпринимательства Новосибирской област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и. Указанная субсидия предоста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влялась в рамках государственной программы «Развитие субъектов малого и среднего предпринимательства в Новосибирской области» как часть мероприятий соответствующего регионального проекта.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связи с переходом ЦПЭ из федерального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регионального проекта «Развитие малого и среднего предпринимательства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поддержка индивидуальной предпринимательской инициативы» в федеральный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региональный проекты «Системные меры развития международной кооперации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экспорта» предоставление субсидий на обеспечение деятельности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ЦПЭ АНО «ЦСРП НСО»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2026 года будет осуществляться Минэкономразвития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НСО в рамках государственной программы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«Стимулирование инвестиционной активности в Новосибирской области»,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включая оплату труда сотрудников ЦПЭ.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Данные изменения согласованы с министерством промы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шленности, торговли и развития предпринимательства Новосибирской области. В соответствии с письмом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2064-08/27-Вн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18 ноября 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Минпромторг НСО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разработан и направлен на согласование в СЭДД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(проект № 67794) проект постановления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 внесении изменений в постановление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31.01.2017 № 14-п, которым вносятся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изменения в приложение № 13 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области от 31.01.2017 № 14-п «Порядок предоставления субсидий автономной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некоммерческой организации «Центр содействия развитию предпринимательства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области» в части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исключения из данного порядка пунктов, касающихся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субсидии на обеспечение деятельности центра поддержки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экспорта АНО «ЦСРП НСО».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Учитывая изложенное, Минэкономразвития НСО запланировало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2026 год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дополнительную потребность по мероприятию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«Финансовое обеспечение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затрат автономной некоммерческой организации «Центр содей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ствия развитию предпринимательства Новосибирской области» (организация и обеспечение деятельности Центра поддержки экспорта) </w:t>
      </w:r>
      <w:r>
        <w:rPr>
          <w:rFonts w:ascii="Times New Roman" w:hAnsi="Times New Roman" w:cs="Times New Roman"/>
          <w:sz w:val="28"/>
          <w:szCs w:val="28"/>
        </w:rPr>
        <w:t xml:space="preserve">(КБК </w:t>
      </w:r>
      <w:r>
        <w:rPr>
          <w:rFonts w:ascii="Times New Roman" w:hAnsi="Times New Roman" w:cs="Times New Roman"/>
          <w:sz w:val="28"/>
          <w:szCs w:val="28"/>
        </w:rPr>
        <w:t xml:space="preserve">123 0412 15.1.М3.01483 633 000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). Данная потребность согласована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проекте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Закона Новосибирской области «Об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областном бюджете Новосибирской области на 2026 год и плановый период 2027 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2028 годов»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следующем объеме: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2026 год - 15 438,15763 тыс. рублей,</w:t>
      </w:r>
      <w:r/>
    </w:p>
    <w:p>
      <w:pPr>
        <w:pStyle w:val="894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2027 год - 16 642,33393 тыс. рублей,</w:t>
      </w:r>
      <w:r/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2028 год - 17 940,43597 тыс. рублей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Выпадающие доходы областного бюджета Новосибирской области при реализации проекта постановления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этой связи предлагается внести изменения в постановление Правительства Новосибирской области от 01.04.2015 № 126-п. Проектом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 предусматривается дополнение указанного нормативного правового акта приложением 28, которое утверждает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редоставления субсидии из областного бюджета Новосибирской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АНО «ЦСРП НСО»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финансовое обеспечение деятельности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ЦПЭ АНО «ЦСРП НСО» (далее – порядок предоставления субсидии)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4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проекте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Закона Новосибирской области «Об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областном бюджете Новосибирской области на 2026 год и плановый период 2027 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2028 годов»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2026 год согласованы средства областного бюджета по вышеуказанному мероприятию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размере, обеспечивающем расходы на заработную плату сотрудников ЦПЭ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АНО «ЦСРП НСО»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однако порядок предоставления субсидии предусматривает направления расходов, отвечающие потребностям ЦПЭ АНО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«ЦСРП НСО»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со статьей 242.27 Бюджетного кодекса Российской Федерации казначейскому сопровождению не подлежат средства, предоставляемые социально-ориентированным некоммерческим организациям (далее – СОНКО). Согласно информации, содержащейся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data.economy.gov.ru, </w:t>
      </w:r>
      <w:r>
        <w:rPr>
          <w:rFonts w:ascii="Times New Roman" w:hAnsi="Times New Roman"/>
          <w:sz w:val="28"/>
          <w:szCs w:val="28"/>
        </w:rPr>
        <w:t xml:space="preserve">АНО «ЦСРП НСО»</w:t>
      </w:r>
      <w:r>
        <w:rPr>
          <w:rFonts w:ascii="Times New Roman" w:hAnsi="Times New Roman" w:cs="Times New Roman"/>
          <w:sz w:val="28"/>
          <w:szCs w:val="28"/>
        </w:rPr>
        <w:t xml:space="preserve"> включена в реестр СОНКО 3 мая 2024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вышеизложенное, субсидия, предоставляемая МЭР НСО</w:t>
      </w:r>
      <w:r>
        <w:rPr>
          <w:rFonts w:ascii="Times New Roman" w:hAnsi="Times New Roman"/>
          <w:sz w:val="28"/>
          <w:szCs w:val="28"/>
        </w:rPr>
        <w:t xml:space="preserve"> АНО «ЦСРП НСО»</w:t>
      </w:r>
      <w:r>
        <w:rPr>
          <w:rFonts w:ascii="Times New Roman" w:hAnsi="Times New Roman" w:cs="Times New Roman"/>
          <w:sz w:val="28"/>
          <w:szCs w:val="28"/>
        </w:rPr>
        <w:t xml:space="preserve">, не подлежит казначейскому сопровождению.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highlight w:val="none"/>
        </w:rPr>
      </w:pPr>
      <w:r>
        <w:t xml:space="preserve">Дополнительно сообщаем, что в целях обеспечения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непрерывности работы Центра поддержки экспорта и создания правовых условий для его финансирования</w:t>
      </w:r>
      <w:r>
        <w:t xml:space="preserve"> </w:t>
      </w:r>
      <w:r>
        <w:t xml:space="preserve">проект постановления подготовлен и направлен на согласование органам исполнительной власти Новосибирской области в целях оперативного рассмотрения и внесения необходимых изменений в проект порядка субсидирования. Вместе с тем, утверждение проекта постано</w:t>
      </w:r>
      <w:r>
        <w:t xml:space="preserve">вления планируется в 2026 году с принятием Закона об областном бюджете Новосибирской области на 2026 год и плановый период 2027 и 2028 годов.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роме того, представленный проект постановления разработан и выносится на рассмотрение отдельно от проекта постановления Правительства Новосибирской области «О внесении изменений в постановление Правительства Новосибирской области от 01.04.2015 № 126-п», ко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торым предусматривается дополнение указанного постановления приложением № 29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субсидии из областного бюджета Новосибирской области на финансовое обеспечение затрат, связанных с продвижением инвестиционного и экспортно-импортного потенциала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раздельном внесении данных проектов обусловлено различиями в процедуре их принятия, а именно: один из проектов подлежит проведению оценки регулирующего воздействия, в то время как на другой действие данного требования не распространяется.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И.о. 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С.Л. Шарпф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tabs>
          <w:tab w:val="left" w:pos="-6663" w:leader="none"/>
        </w:tabs>
        <w:rPr>
          <w:sz w:val="36"/>
          <w:szCs w:val="36"/>
        </w:rPr>
      </w:pPr>
      <w:r>
        <w:rPr>
          <w:sz w:val="32"/>
          <w:szCs w:val="32"/>
        </w:rPr>
      </w:r>
      <w:r>
        <w:rPr>
          <w:color w:val="eeece1"/>
          <w:sz w:val="28"/>
          <w:szCs w:val="28"/>
        </w:rPr>
        <w:t xml:space="preserve">  [МЕСТО ДЛЯ ПОДПИСИ]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Е.А. Кузнецова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0"/>
          <w:szCs w:val="20"/>
        </w:rPr>
        <w:t xml:space="preserve">238-67-63</w:t>
      </w:r>
      <w:r>
        <w:rPr>
          <w:sz w:val="22"/>
        </w:rPr>
      </w:r>
      <w:r>
        <w:rPr>
          <w:sz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hd w:val="clear" w:color="auto" w:fill="ffffff"/>
      <w:tabs>
        <w:tab w:val="left" w:pos="-6663" w:leader="none"/>
      </w:tabs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  <w:r>
      <w:rPr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54791976"/>
      <w:docPartObj>
        <w:docPartGallery w:val="Page Numbers (Top of Page)"/>
        <w:docPartUnique w:val="true"/>
      </w:docPartObj>
      <w:rPr>
        <w:sz w:val="20"/>
      </w:rPr>
    </w:sdtPr>
    <w:sdtContent>
      <w:p>
        <w:pPr>
          <w:pStyle w:val="742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  <w:p>
    <w:pPr>
      <w:pStyle w:val="7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  <w:rPr>
      <w:sz w:val="24"/>
      <w:szCs w:val="24"/>
      <w:lang w:eastAsia="ru-RU"/>
    </w:rPr>
  </w:style>
  <w:style w:type="paragraph" w:styleId="697">
    <w:name w:val="Heading 1"/>
    <w:basedOn w:val="696"/>
    <w:next w:val="696"/>
    <w:link w:val="892"/>
    <w:qFormat/>
    <w:pPr>
      <w:jc w:val="center"/>
      <w:keepNext/>
      <w:outlineLvl w:val="0"/>
    </w:pPr>
    <w:rPr>
      <w:sz w:val="28"/>
    </w:rPr>
  </w:style>
  <w:style w:type="paragraph" w:styleId="698">
    <w:name w:val="Heading 2"/>
    <w:basedOn w:val="696"/>
    <w:next w:val="696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2 Char"/>
    <w:basedOn w:val="706"/>
    <w:uiPriority w:val="9"/>
    <w:rPr>
      <w:rFonts w:ascii="Arial" w:hAnsi="Arial" w:eastAsia="Arial" w:cs="Arial"/>
      <w:sz w:val="34"/>
    </w:rPr>
  </w:style>
  <w:style w:type="character" w:styleId="710" w:customStyle="1">
    <w:name w:val="Heading 3 Char"/>
    <w:basedOn w:val="706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basedOn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basedOn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6"/>
    <w:uiPriority w:val="10"/>
    <w:rPr>
      <w:sz w:val="48"/>
      <w:szCs w:val="48"/>
    </w:rPr>
  </w:style>
  <w:style w:type="character" w:styleId="718" w:customStyle="1">
    <w:name w:val="Subtitle Char"/>
    <w:basedOn w:val="706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link w:val="698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link w:val="699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696"/>
    <w:uiPriority w:val="34"/>
    <w:qFormat/>
    <w:pPr>
      <w:contextualSpacing/>
      <w:ind w:left="720"/>
    </w:pPr>
  </w:style>
  <w:style w:type="paragraph" w:styleId="733">
    <w:name w:val="No Spacing"/>
    <w:uiPriority w:val="1"/>
    <w:qFormat/>
  </w:style>
  <w:style w:type="paragraph" w:styleId="734">
    <w:name w:val="Title"/>
    <w:basedOn w:val="696"/>
    <w:next w:val="696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link w:val="734"/>
    <w:uiPriority w:val="10"/>
    <w:rPr>
      <w:sz w:val="48"/>
      <w:szCs w:val="48"/>
    </w:rPr>
  </w:style>
  <w:style w:type="paragraph" w:styleId="736">
    <w:name w:val="Subtitle"/>
    <w:basedOn w:val="696"/>
    <w:next w:val="696"/>
    <w:link w:val="737"/>
    <w:uiPriority w:val="11"/>
    <w:qFormat/>
    <w:pPr>
      <w:spacing w:before="200" w:after="200"/>
    </w:pPr>
  </w:style>
  <w:style w:type="character" w:styleId="737" w:customStyle="1">
    <w:name w:val="Подзаголовок Знак"/>
    <w:link w:val="736"/>
    <w:uiPriority w:val="11"/>
    <w:rPr>
      <w:sz w:val="24"/>
      <w:szCs w:val="24"/>
    </w:rPr>
  </w:style>
  <w:style w:type="paragraph" w:styleId="738">
    <w:name w:val="Quote"/>
    <w:basedOn w:val="696"/>
    <w:next w:val="696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6"/>
    <w:next w:val="696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696"/>
    <w:link w:val="902"/>
    <w:uiPriority w:val="99"/>
    <w:pPr>
      <w:tabs>
        <w:tab w:val="center" w:pos="4677" w:leader="none"/>
        <w:tab w:val="right" w:pos="9355" w:leader="none"/>
      </w:tabs>
    </w:pPr>
  </w:style>
  <w:style w:type="character" w:styleId="743" w:customStyle="1">
    <w:name w:val="Header Char"/>
    <w:uiPriority w:val="99"/>
  </w:style>
  <w:style w:type="paragraph" w:styleId="744">
    <w:name w:val="Footer"/>
    <w:basedOn w:val="696"/>
    <w:link w:val="903"/>
    <w:pPr>
      <w:tabs>
        <w:tab w:val="center" w:pos="4677" w:leader="none"/>
        <w:tab w:val="right" w:pos="9355" w:leader="none"/>
      </w:tabs>
    </w:pPr>
  </w:style>
  <w:style w:type="character" w:styleId="745" w:customStyle="1">
    <w:name w:val="Footer Char"/>
    <w:uiPriority w:val="99"/>
  </w:style>
  <w:style w:type="paragraph" w:styleId="7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 w:customStyle="1">
    <w:name w:val="Caption Char"/>
    <w:uiPriority w:val="99"/>
  </w:style>
  <w:style w:type="table" w:styleId="748">
    <w:name w:val="Table Grid"/>
    <w:basedOn w:val="707"/>
    <w:tblPr/>
  </w:style>
  <w:style w:type="table" w:styleId="74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696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696"/>
    <w:link w:val="879"/>
    <w:uiPriority w:val="99"/>
    <w:semiHidden/>
    <w:unhideWhenUsed/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696"/>
    <w:next w:val="696"/>
    <w:uiPriority w:val="39"/>
    <w:unhideWhenUsed/>
    <w:pPr>
      <w:spacing w:after="57"/>
    </w:pPr>
  </w:style>
  <w:style w:type="paragraph" w:styleId="882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83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84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85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86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87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88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89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696"/>
    <w:next w:val="696"/>
    <w:uiPriority w:val="99"/>
    <w:unhideWhenUsed/>
  </w:style>
  <w:style w:type="character" w:styleId="892" w:customStyle="1">
    <w:name w:val="Заголовок 1 Знак"/>
    <w:link w:val="697"/>
    <w:rPr>
      <w:sz w:val="28"/>
      <w:szCs w:val="24"/>
      <w:lang w:val="ru-RU" w:eastAsia="ru-RU" w:bidi="ar-SA"/>
    </w:rPr>
  </w:style>
  <w:style w:type="paragraph" w:styleId="893" w:customStyle="1">
    <w:name w:val="ConsPlusCell"/>
    <w:uiPriority w:val="99"/>
    <w:rPr>
      <w:rFonts w:eastAsia="Calibri"/>
      <w:sz w:val="28"/>
      <w:szCs w:val="28"/>
      <w:lang w:eastAsia="en-US"/>
    </w:rPr>
  </w:style>
  <w:style w:type="paragraph" w:styleId="894" w:customStyle="1">
    <w:name w:val="ConsPlusNormal"/>
    <w:rPr>
      <w:sz w:val="28"/>
      <w:szCs w:val="28"/>
      <w:lang w:eastAsia="ru-RU"/>
    </w:rPr>
  </w:style>
  <w:style w:type="character" w:styleId="895">
    <w:name w:val="annotation reference"/>
    <w:rPr>
      <w:sz w:val="16"/>
      <w:szCs w:val="16"/>
    </w:rPr>
  </w:style>
  <w:style w:type="paragraph" w:styleId="896">
    <w:name w:val="annotation text"/>
    <w:basedOn w:val="696"/>
    <w:link w:val="897"/>
    <w:rPr>
      <w:sz w:val="20"/>
      <w:szCs w:val="20"/>
    </w:rPr>
  </w:style>
  <w:style w:type="character" w:styleId="897" w:customStyle="1">
    <w:name w:val="Текст примечания Знак"/>
    <w:basedOn w:val="706"/>
    <w:link w:val="896"/>
  </w:style>
  <w:style w:type="paragraph" w:styleId="898">
    <w:name w:val="annotation subject"/>
    <w:basedOn w:val="896"/>
    <w:next w:val="896"/>
    <w:link w:val="899"/>
    <w:rPr>
      <w:b/>
      <w:bCs/>
    </w:rPr>
  </w:style>
  <w:style w:type="character" w:styleId="899" w:customStyle="1">
    <w:name w:val="Тема примечания Знак"/>
    <w:link w:val="898"/>
    <w:rPr>
      <w:b/>
      <w:bCs/>
    </w:rPr>
  </w:style>
  <w:style w:type="paragraph" w:styleId="900">
    <w:name w:val="Balloon Text"/>
    <w:basedOn w:val="696"/>
    <w:link w:val="901"/>
    <w:rPr>
      <w:rFonts w:ascii="Tahoma" w:hAnsi="Tahoma" w:cs="Tahoma"/>
      <w:sz w:val="16"/>
      <w:szCs w:val="16"/>
    </w:rPr>
  </w:style>
  <w:style w:type="character" w:styleId="901" w:customStyle="1">
    <w:name w:val="Текст выноски Знак"/>
    <w:link w:val="900"/>
    <w:rPr>
      <w:rFonts w:ascii="Tahoma" w:hAnsi="Tahoma" w:cs="Tahoma"/>
      <w:sz w:val="16"/>
      <w:szCs w:val="16"/>
    </w:rPr>
  </w:style>
  <w:style w:type="character" w:styleId="902" w:customStyle="1">
    <w:name w:val="Верхний колонтитул Знак"/>
    <w:link w:val="742"/>
    <w:uiPriority w:val="99"/>
    <w:rPr>
      <w:sz w:val="24"/>
      <w:szCs w:val="24"/>
    </w:rPr>
  </w:style>
  <w:style w:type="character" w:styleId="903" w:customStyle="1">
    <w:name w:val="Нижний колонтитул Знак"/>
    <w:link w:val="744"/>
    <w:rPr>
      <w:sz w:val="24"/>
      <w:szCs w:val="24"/>
    </w:rPr>
  </w:style>
  <w:style w:type="paragraph" w:styleId="904">
    <w:name w:val="Body Text 3"/>
    <w:basedOn w:val="696"/>
    <w:link w:val="905"/>
    <w:pPr>
      <w:jc w:val="center"/>
      <w:shd w:val="clear" w:color="auto" w:fill="ffffff"/>
    </w:pPr>
    <w:rPr>
      <w:rFonts w:eastAsia="Calibri"/>
      <w:b/>
      <w:bCs/>
      <w:sz w:val="28"/>
    </w:rPr>
  </w:style>
  <w:style w:type="character" w:styleId="905" w:customStyle="1">
    <w:name w:val="Основной текст 3 Знак"/>
    <w:link w:val="904"/>
    <w:rPr>
      <w:rFonts w:eastAsia="Calibri"/>
      <w:b/>
      <w:bCs/>
      <w:sz w:val="28"/>
      <w:szCs w:val="24"/>
      <w:shd w:val="clear" w:color="auto" w:fill="ffffff"/>
    </w:rPr>
  </w:style>
  <w:style w:type="paragraph" w:styleId="906" w:customStyle="1">
    <w:name w:val="Основной текст1"/>
    <w:basedOn w:val="883"/>
    <w:pPr>
      <w:ind w:left="0"/>
      <w:jc w:val="right"/>
      <w:spacing w:after="42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7D19-B8D3-44DC-BB6A-CF42B01C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ФЭО</dc:title>
  <dc:creator>volpn</dc:creator>
  <cp:keywords>Волокитин П.Н.</cp:keywords>
  <cp:revision>17</cp:revision>
  <dcterms:created xsi:type="dcterms:W3CDTF">2024-12-25T09:15:00Z</dcterms:created>
  <dcterms:modified xsi:type="dcterms:W3CDTF">2025-12-05T08:44:28Z</dcterms:modified>
  <cp:version>1048576</cp:version>
</cp:coreProperties>
</file>