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7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0</w:t>
      </w:r>
      <w:r>
        <w:rPr>
          <w:sz w:val="28"/>
          <w:szCs w:val="28"/>
        </w:rPr>
      </w:r>
    </w:p>
    <w:p>
      <w:pPr>
        <w:pStyle w:val="97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5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75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yellow"/>
          <w14:ligatures w14:val="none"/>
        </w:rPr>
      </w:pP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  <w:r>
        <w:rPr>
          <w:sz w:val="28"/>
          <w:szCs w:val="28"/>
          <w:highlight w:val="yellow"/>
          <w14:ligatures w14:val="none"/>
        </w:rPr>
      </w:r>
    </w:p>
    <w:p>
      <w:pPr>
        <w:pStyle w:val="975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</w:t>
      </w:r>
      <w:r>
        <w:rPr>
          <w:sz w:val="28"/>
          <w:szCs w:val="28"/>
          <w:highlight w:val="none"/>
          <w14:ligatures w14:val="none"/>
        </w:rPr>
        <w:t xml:space="preserve">экспертного задания </w:t>
      </w:r>
      <w:r>
        <w:rPr>
          <w:sz w:val="28"/>
          <w:szCs w:val="28"/>
          <w:highlight w:val="none"/>
          <w14:ligatures w14:val="none"/>
        </w:rPr>
        <w:t xml:space="preserve">для осуществления экспертизы в рамках проведения контрольного (надзорного) мероприятия в целях оценки соблюдения контролируемым лицом обязательных требований </w:t>
      </w:r>
      <w:r>
        <w:rPr>
          <w:sz w:val="28"/>
          <w:szCs w:val="28"/>
          <w:highlight w:val="none"/>
          <w14:ligatures w14:val="none"/>
        </w:rPr>
      </w:r>
      <w:r/>
    </w:p>
    <w:p>
      <w:pPr>
        <w:pStyle w:val="973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73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48846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74"/>
        <w:jc w:val="center"/>
      </w:pPr>
      <w:r/>
      <w:r/>
    </w:p>
    <w:p>
      <w:pPr>
        <w:pStyle w:val="97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7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47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r/>
      <w:r/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</w:r>
      <w:r>
        <w:rPr>
          <w:highlight w:val="none"/>
        </w:rPr>
      </w:r>
    </w:p>
    <w:p>
      <w:pPr>
        <w:pStyle w:val="97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4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7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</w:r>
      <w:r>
        <w:rPr>
          <w:highlight w:val="none"/>
        </w:rPr>
      </w:r>
    </w:p>
    <w:p>
      <w:pPr>
        <w:pStyle w:val="97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7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ЭКСПЕРТНОЕ ЗАДАНИЕ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для осуществления экспертизы в рамках проведения контрольного (надзорного) мероприятия в целях оценки соблюдения контролируемым лицом обязательных требований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 ____________20___г.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1. 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Должностным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лицом (должностными лицами) министерства экономического развития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Новосибирской области (далее – Министерство)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: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(указываются 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(уполномоченных)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осуществление регионального государственного контроля (надзора)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 в сфере туристской индустрии,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соответствии со статьей 84 Федерального закона от 31.07.2020 № 248-ФЗ «О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государственном контроле (надзоре) и муниципальном контроле в Российской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Федерации» (далее – Федеральный закон № 248-ФЗ) в целях оценки соблюдения контролируемым лицом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обязательных требований в рамках проведения: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center"/>
        <w:rPr>
          <w:sz w:val="18"/>
          <w:szCs w:val="18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(указываются вид проводимого контрольного (надзорного) мероприятия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sz w:val="18"/>
          <w:szCs w:val="18"/>
          <w:highlight w:val="none"/>
        </w:rPr>
      </w:r>
      <w:r>
        <w:rPr>
          <w:sz w:val="18"/>
          <w:szCs w:val="18"/>
          <w:highlight w:val="non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на основании решения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ind w:firstLine="709"/>
        <w:jc w:val="center"/>
        <w:rPr>
          <w:sz w:val="18"/>
          <w:szCs w:val="18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номер, дата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решения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sz w:val="18"/>
          <w:szCs w:val="18"/>
          <w:highlight w:val="white"/>
        </w:rPr>
      </w:r>
      <w:r>
        <w:rPr>
          <w:sz w:val="18"/>
          <w:szCs w:val="18"/>
          <w:highlight w:val="whit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в отношении: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ind w:firstLine="709"/>
        <w:jc w:val="center"/>
        <w:rPr>
          <w:sz w:val="18"/>
          <w:szCs w:val="18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 xml:space="preserve">(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указываются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идентификационные данные контролируемого лица</w:t>
      </w:r>
      <w:r>
        <w:rPr>
          <w:rStyle w:val="950"/>
          <w:rFonts w:ascii="Times New Roman" w:hAnsi="Times New Roman" w:cs="Times New Roman"/>
          <w:sz w:val="24"/>
          <w:szCs w:val="24"/>
          <w:highlight w:val="white"/>
        </w:rPr>
        <w:footnoteReference w:id="2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)</w:t>
      </w:r>
      <w:r>
        <w:rPr>
          <w:sz w:val="18"/>
          <w:szCs w:val="18"/>
          <w:highlight w:val="white"/>
        </w:rPr>
      </w:r>
      <w:r>
        <w:rPr>
          <w:sz w:val="18"/>
          <w:szCs w:val="18"/>
          <w:highlight w:val="white"/>
        </w:rPr>
      </w:r>
    </w:p>
    <w:p>
      <w:pPr>
        <w:pStyle w:val="974"/>
        <w:ind w:firstLine="709"/>
        <w:jc w:val="center"/>
        <w:rPr>
          <w:sz w:val="18"/>
          <w:szCs w:val="18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sz w:val="18"/>
          <w:szCs w:val="18"/>
          <w:highlight w:val="white"/>
        </w:rPr>
      </w:r>
      <w:r>
        <w:rPr>
          <w:sz w:val="18"/>
          <w:szCs w:val="18"/>
          <w:highlight w:val="white"/>
        </w:rPr>
      </w:r>
    </w:p>
    <w:p>
      <w:pPr>
        <w:pStyle w:val="974"/>
        <w:ind w:firstLine="709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32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принято решение о проведения экспертизы: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(указывается вид и соответствующая область экспертизы в соответствии с приказом Министерства «Об утверждении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Положения 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об аттестации экспертов, привлекаемых министерством экономического развития Новосибирской области к осуществлению экспертизы в целях регионального государственного контроля (надзора) в сфере туристской индустрии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»)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74"/>
        <w:ind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следующие сроки: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4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4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(по согласованию с экспертом (экспертной организацией) указывается дата и время начала 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окончания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экспертизы в рамках проведения контрольного (надзорного) мероприятия в целях оценки соблюдения контролируемым лицом обязательных требований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2. 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О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существление экспертизы в рамках проведения контрольного (надзорного) мероприятия в целях оценки соблюдения контролируемым лицом обязательных требований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поручить: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(указывается эксперт (экспертная организация), которому будет поручено проведение экспертизы, идентификационные данные</w:t>
      </w:r>
      <w:r>
        <w:rPr>
          <w:rStyle w:val="950"/>
          <w:rFonts w:ascii="Times New Roman" w:hAnsi="Times New Roman" w:cs="Times New Roman"/>
          <w:sz w:val="24"/>
          <w:szCs w:val="24"/>
          <w:highlight w:val="none"/>
        </w:rPr>
        <w:footnoteReference w:id="3"/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left"/>
        <w:rPr>
          <w:rFonts w:ascii="Times New Roman" w:hAnsi="Times New Roman" w:cs="Times New Roman"/>
          <w:sz w:val="28"/>
          <w:szCs w:val="28"/>
          <w:highlight w:val="none"/>
        </w:rPr>
        <w:suppressLineNumbers w:val="0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Определить, что задачами экспертизы будут являться: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center"/>
        <w:rPr>
          <w:rFonts w:ascii="Times New Roman" w:hAnsi="Times New Roman" w:cs="Times New Roman"/>
          <w:sz w:val="36"/>
          <w:szCs w:val="36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(указывается одна или несколько задач в соответствии с частью 2 статьи 84 </w:t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Федерального закона № 248-ФЗ</w:t>
      </w:r>
      <w:r>
        <w:rPr>
          <w:rFonts w:ascii="Times New Roman" w:hAnsi="Times New Roman" w:eastAsia="Times New Roman" w:cs="Times New Roman"/>
          <w:sz w:val="24"/>
          <w:szCs w:val="28"/>
        </w:rPr>
        <w:t xml:space="preserve">)</w:t>
      </w:r>
      <w:r>
        <w:rPr>
          <w:rFonts w:ascii="Times New Roman" w:hAnsi="Times New Roman" w:cs="Times New Roman"/>
          <w:sz w:val="36"/>
          <w:szCs w:val="36"/>
          <w:highlight w:val="none"/>
        </w:rPr>
      </w:r>
      <w:r>
        <w:rPr>
          <w:rFonts w:ascii="Times New Roman" w:hAnsi="Times New Roman" w:cs="Times New Roman"/>
          <w:sz w:val="36"/>
          <w:szCs w:val="36"/>
          <w:highlight w:val="none"/>
        </w:rPr>
      </w:r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4. Перечень вопросов, поставленных эксперту (экспертной организации) в рамках проведения настоящей экспертизы: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ind w:firstLine="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74"/>
        <w:ind w:firstLine="709"/>
        <w:jc w:val="center"/>
        <w:rPr>
          <w:rFonts w:ascii="Times New Roman" w:hAnsi="Times New Roman" w:cs="Times New Roman"/>
          <w:sz w:val="36"/>
          <w:szCs w:val="36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8"/>
          <w:highlight w:val="white"/>
        </w:rPr>
        <w:t xml:space="preserve">(указываются вопросы, по которым эксперт (экспертная организация) должен (должна) подготовить экспертное заключение)</w:t>
      </w:r>
      <w:r>
        <w:rPr>
          <w:rFonts w:ascii="Times New Roman" w:hAnsi="Times New Roman" w:cs="Times New Roman"/>
          <w:sz w:val="36"/>
          <w:szCs w:val="36"/>
          <w:highlight w:val="white"/>
        </w:rPr>
      </w:r>
      <w:r>
        <w:rPr>
          <w:rFonts w:ascii="Times New Roman" w:hAnsi="Times New Roman" w:cs="Times New Roman"/>
          <w:sz w:val="36"/>
          <w:szCs w:val="36"/>
          <w:highlight w:val="white"/>
        </w:rPr>
      </w:r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  <w:r>
        <w:rPr>
          <w:rFonts w:ascii="Times New Roman" w:hAnsi="Times New Roman" w:cs="Times New Roman"/>
          <w:sz w:val="28"/>
          <w:szCs w:val="28"/>
          <w:highlight w:val="yellow"/>
        </w:rPr>
      </w:r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5. По результатам проведения э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кспертизы в рамках проведения контрольного (надзорного) мероприятия в целях оценки соблюдения контролируемым лицом обязательных требований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срок до «__» _____ 20__ г. эксперту (экспертной организации) представить в Министерство экспертное заключение.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0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соответствии с частью 3 статьи 33 Федерального закона № 248-ФЗ 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ри осуществлении экспертизы эксперт (экспертная организация) вправе:</w:t>
      </w:r>
      <w:r/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Знакомиться с документами и материалами, относящимися к осуществлению экспертизы.</w:t>
      </w:r>
      <w:r/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 Отказаться после получения документов и материалов, в том числе проб и (или) образцов продукции (товаров), от осуществления экспертизы, если поставленные вопросы находятся вне их компетенции, или от представления ответов на вопросы, не входящие в их комп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етенцию.</w:t>
      </w:r>
      <w:r/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 Запросить в письменной форме в течение трех рабочих дней со дня получения документов и материалов для осуществления экспертизы дополнительные материалы и документы, в том числе пробы и (или) образцы продукции (товаров), необходимые для осуществления эксп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ертизы.</w:t>
      </w:r>
      <w:r/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4. Уточнять поставленные перед ними вопросы в соответствии со своими специальными и (или) научными знаниями и компетенцией.</w:t>
      </w:r>
      <w:r/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5. Включать в заключение выводы об обстоятельствах, которые имеют значение для контрольного (надзорного) мероприятия и в отношении которых не были поставлены вопросы.</w:t>
      </w:r>
      <w:r/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 соответствии с частью 4 статьи 33 Федерального закона № 248-ФЗ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при осуществлении экспертизы эксперт (экспертная организация) обязаны: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1. Подготовить заключение на основании полной, всесторонней и объективной оценки результатов исследований.</w:t>
      </w:r>
      <w:r/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2. Не разглашать сведения, полученные в результате осуществления экспертизы, и не передавать их третьим лицам, за исключением случаев, предусмотренных законодательством Российской Федерации.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3. Соблюдать установленные сроки осуществления экспертизы.</w:t>
      </w:r>
      <w:r/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За дачу заведомо ложного заключения эксперт (экспертная организация) несут ответственность, предусмотренную законодательством Российской Федерации.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74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97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 </w:t>
            </w:r>
            <w:r>
              <w:rPr>
                <w:color w:val="ffffff" w:themeColor="background1"/>
              </w:rPr>
              <w:t xml:space="preserve">[МЕСТО ДЛЯ 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выдавшего настоящее экспертное задание)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7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7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4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Ознакомлен(а):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74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указывается эксперт (экспертная организация), которому будет поручено проведение экспертизы, идентификационные данные</w:t>
      </w:r>
      <w:r>
        <w:rPr>
          <w:rStyle w:val="950"/>
          <w:rFonts w:ascii="Times New Roman" w:hAnsi="Times New Roman" w:cs="Times New Roman"/>
          <w:sz w:val="24"/>
          <w:szCs w:val="24"/>
          <w:highlight w:val="none"/>
        </w:rPr>
        <w:footnoteReference w:id="4"/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tbl>
      <w:tblPr>
        <w:tblStyle w:val="821"/>
        <w:tblW w:w="0" w:type="auto"/>
        <w:tblLook w:val="04A0" w:firstRow="1" w:lastRow="0" w:firstColumn="1" w:lastColumn="0" w:noHBand="0" w:noVBand="1"/>
      </w:tblPr>
      <w:tblGrid>
        <w:gridCol w:w="10137"/>
        <w:gridCol w:w="10137"/>
      </w:tblGrid>
      <w:tr>
        <w:tblPrEx/>
        <w:trPr/>
        <w:tc>
          <w:tcPr>
            <w:tcW w:w="10137" w:type="dxa"/>
            <w:textDirection w:val="lrTb"/>
            <w:noWrap w:val="false"/>
          </w:tcPr>
          <w:p>
            <w:pPr>
              <w:pStyle w:val="974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Отметка о направлении (способ направления) экземпляра настоящего задания эксперту (экспертной организации)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137" w:type="dxa"/>
            <w:textDirection w:val="lrTb"/>
            <w:noWrap w:val="false"/>
          </w:tcPr>
          <w:p>
            <w:pPr>
              <w:pStyle w:val="974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tbl>
      <w:tblPr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shd w:val="clear" w:color="ffffff" w:fill="ffffff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Настоящее задание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адрес электронной почты контролируемого лица (дополнительно указываются дата, номер исходящего письма,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почтовый адрес контролируемого лица заказным письмом с уведомлением (дополнительно указываются дата, номер исходящего письма, почтовый адрес, 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shd w:val="clear" w:color="ffffff" w:fill="ffffff"/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личный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7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74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7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48"/>
        <w:jc w:val="both"/>
        <w:spacing w:after="0" w:afterAutospacing="0"/>
        <w:rPr>
          <w:sz w:val="20"/>
          <w:szCs w:val="20"/>
        </w:rPr>
      </w:pPr>
      <w:r>
        <w:rPr>
          <w:rStyle w:val="950"/>
          <w:sz w:val="20"/>
          <w:szCs w:val="20"/>
        </w:rPr>
        <w:footnoteRef/>
      </w:r>
      <w:r>
        <w:rPr>
          <w:sz w:val="20"/>
          <w:szCs w:val="20"/>
        </w:rPr>
        <w:t xml:space="preserve"> 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rPr>
          <w:sz w:val="20"/>
          <w:szCs w:val="20"/>
        </w:rP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rPr>
          <w:sz w:val="20"/>
          <w:szCs w:val="20"/>
        </w:rPr>
      </w:r>
      <w:r>
        <w:rPr>
          <w:sz w:val="20"/>
          <w:szCs w:val="20"/>
        </w:rPr>
      </w:r>
    </w:p>
  </w:footnote>
  <w:footnote w:id="3">
    <w:p>
      <w:pPr>
        <w:pStyle w:val="948"/>
        <w:jc w:val="both"/>
        <w:spacing w:after="0" w:afterAutospacing="0"/>
        <w:rPr>
          <w:sz w:val="20"/>
          <w:szCs w:val="20"/>
          <w:highlight w:val="white"/>
        </w:rPr>
      </w:pPr>
      <w:r>
        <w:rPr>
          <w:rStyle w:val="950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</w:t>
      </w:r>
      <w:r>
        <w:rPr>
          <w:sz w:val="20"/>
          <w:szCs w:val="20"/>
        </w:rPr>
        <w:t xml:space="preserve">аименование юридического лица/фамилия, имя, отчество (последнее – при наличии) физического лица, ОГРН, адрес юри</w:t>
      </w:r>
      <w:r>
        <w:rPr>
          <w:sz w:val="20"/>
          <w:szCs w:val="20"/>
        </w:rPr>
        <w:t xml:space="preserve">дического лица (юридический и </w:t>
      </w:r>
      <w:r>
        <w:rPr>
          <w:sz w:val="20"/>
          <w:szCs w:val="20"/>
          <w:highlight w:val="white"/>
        </w:rPr>
        <w:t xml:space="preserve">фактический)/адрес регистрации по месту жительства (месту пребывания) физического лица, КПП (для юридического лица), </w:t>
      </w:r>
      <w:r>
        <w:rPr>
          <w:sz w:val="20"/>
          <w:szCs w:val="20"/>
          <w:highlight w:val="white"/>
        </w:rPr>
        <w:t xml:space="preserve">номер записи эксперта / экспертной организации в реестре экспертов контрольного (надзорного) органа либо иных специализированных реестрах аккредитованных экспертных организаций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</w:footnote>
  <w:footnote w:id="4">
    <w:p>
      <w:pPr>
        <w:pStyle w:val="948"/>
        <w:jc w:val="both"/>
      </w:pPr>
      <w:r>
        <w:rPr>
          <w:rStyle w:val="950"/>
        </w:rPr>
        <w:footnoteRef/>
      </w:r>
      <w:r>
        <w:t xml:space="preserve"> </w:t>
      </w:r>
      <w:r>
        <w:t xml:space="preserve">Н</w:t>
      </w:r>
      <w:r>
        <w:t xml:space="preserve">аименование юридического лица/фамилия, имя, отчество (последнее – при наличии) физического лица, ОГРН, адрес юри</w:t>
      </w:r>
      <w:r>
        <w:t xml:space="preserve">дического лица (юридический и фактический)/адрес регистрации по месту жительства (месту пребывания) физического лица, КПП (для юридического лица)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5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5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1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6" w:default="1">
    <w:name w:val="Normal"/>
    <w:qFormat/>
    <w:rPr>
      <w:sz w:val="28"/>
      <w:szCs w:val="28"/>
    </w:rPr>
  </w:style>
  <w:style w:type="paragraph" w:styleId="767">
    <w:name w:val="Heading 1"/>
    <w:basedOn w:val="766"/>
    <w:next w:val="766"/>
    <w:link w:val="79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68">
    <w:name w:val="Heading 2"/>
    <w:basedOn w:val="766"/>
    <w:next w:val="766"/>
    <w:link w:val="79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69">
    <w:name w:val="Heading 3"/>
    <w:basedOn w:val="766"/>
    <w:next w:val="766"/>
    <w:link w:val="79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70">
    <w:name w:val="Heading 4"/>
    <w:basedOn w:val="766"/>
    <w:next w:val="766"/>
    <w:link w:val="79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71">
    <w:name w:val="Heading 5"/>
    <w:basedOn w:val="766"/>
    <w:next w:val="766"/>
    <w:link w:val="80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72">
    <w:name w:val="Heading 6"/>
    <w:basedOn w:val="766"/>
    <w:next w:val="766"/>
    <w:link w:val="801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73">
    <w:name w:val="Heading 7"/>
    <w:basedOn w:val="766"/>
    <w:next w:val="766"/>
    <w:link w:val="80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74">
    <w:name w:val="Heading 8"/>
    <w:basedOn w:val="766"/>
    <w:next w:val="766"/>
    <w:link w:val="80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75">
    <w:name w:val="Heading 9"/>
    <w:basedOn w:val="766"/>
    <w:next w:val="766"/>
    <w:link w:val="80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76" w:default="1">
    <w:name w:val="Default Paragraph Font"/>
    <w:uiPriority w:val="1"/>
    <w:semiHidden/>
    <w:unhideWhenUsed/>
  </w:style>
  <w:style w:type="table" w:styleId="77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8" w:default="1">
    <w:name w:val="No List"/>
    <w:uiPriority w:val="99"/>
    <w:semiHidden/>
    <w:unhideWhenUsed/>
  </w:style>
  <w:style w:type="character" w:styleId="779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80" w:customStyle="1">
    <w:name w:val="Heading 2 Char"/>
    <w:uiPriority w:val="9"/>
    <w:rPr>
      <w:rFonts w:ascii="Arial" w:hAnsi="Arial" w:eastAsia="Arial" w:cs="Arial"/>
      <w:sz w:val="34"/>
    </w:rPr>
  </w:style>
  <w:style w:type="character" w:styleId="781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82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83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84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85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86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87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88" w:customStyle="1">
    <w:name w:val="Title Char"/>
    <w:uiPriority w:val="10"/>
    <w:rPr>
      <w:sz w:val="48"/>
      <w:szCs w:val="48"/>
    </w:rPr>
  </w:style>
  <w:style w:type="character" w:styleId="789" w:customStyle="1">
    <w:name w:val="Subtitle Char"/>
    <w:uiPriority w:val="11"/>
    <w:rPr>
      <w:sz w:val="24"/>
      <w:szCs w:val="24"/>
    </w:rPr>
  </w:style>
  <w:style w:type="character" w:styleId="790" w:customStyle="1">
    <w:name w:val="Quote Char"/>
    <w:uiPriority w:val="29"/>
    <w:rPr>
      <w:i/>
    </w:rPr>
  </w:style>
  <w:style w:type="character" w:styleId="791" w:customStyle="1">
    <w:name w:val="Intense Quote Char"/>
    <w:uiPriority w:val="30"/>
    <w:rPr>
      <w:i/>
    </w:rPr>
  </w:style>
  <w:style w:type="character" w:styleId="792" w:customStyle="1">
    <w:name w:val="Header Char"/>
    <w:basedOn w:val="776"/>
    <w:uiPriority w:val="99"/>
  </w:style>
  <w:style w:type="character" w:styleId="793" w:customStyle="1">
    <w:name w:val="Caption Char"/>
    <w:uiPriority w:val="99"/>
  </w:style>
  <w:style w:type="character" w:styleId="794" w:customStyle="1">
    <w:name w:val="Footnote Text Char"/>
    <w:uiPriority w:val="99"/>
    <w:rPr>
      <w:sz w:val="18"/>
    </w:rPr>
  </w:style>
  <w:style w:type="character" w:styleId="795" w:customStyle="1">
    <w:name w:val="Endnote Text Char"/>
    <w:uiPriority w:val="99"/>
    <w:rPr>
      <w:sz w:val="20"/>
    </w:rPr>
  </w:style>
  <w:style w:type="character" w:styleId="796" w:customStyle="1">
    <w:name w:val="Заголовок 1 Знак"/>
    <w:link w:val="767"/>
    <w:uiPriority w:val="9"/>
    <w:rPr>
      <w:rFonts w:ascii="Arial" w:hAnsi="Arial" w:eastAsia="Arial" w:cs="Arial"/>
      <w:sz w:val="40"/>
      <w:szCs w:val="40"/>
    </w:rPr>
  </w:style>
  <w:style w:type="character" w:styleId="797" w:customStyle="1">
    <w:name w:val="Заголовок 2 Знак"/>
    <w:link w:val="768"/>
    <w:uiPriority w:val="9"/>
    <w:rPr>
      <w:rFonts w:ascii="Arial" w:hAnsi="Arial" w:eastAsia="Arial" w:cs="Arial"/>
      <w:sz w:val="34"/>
    </w:rPr>
  </w:style>
  <w:style w:type="character" w:styleId="798" w:customStyle="1">
    <w:name w:val="Заголовок 3 Знак"/>
    <w:link w:val="769"/>
    <w:uiPriority w:val="9"/>
    <w:rPr>
      <w:rFonts w:ascii="Arial" w:hAnsi="Arial" w:eastAsia="Arial" w:cs="Arial"/>
      <w:sz w:val="30"/>
      <w:szCs w:val="30"/>
    </w:rPr>
  </w:style>
  <w:style w:type="character" w:styleId="799" w:customStyle="1">
    <w:name w:val="Заголовок 4 Знак"/>
    <w:link w:val="770"/>
    <w:uiPriority w:val="9"/>
    <w:rPr>
      <w:rFonts w:ascii="Arial" w:hAnsi="Arial" w:eastAsia="Arial" w:cs="Arial"/>
      <w:b/>
      <w:bCs/>
      <w:sz w:val="26"/>
      <w:szCs w:val="26"/>
    </w:rPr>
  </w:style>
  <w:style w:type="character" w:styleId="800" w:customStyle="1">
    <w:name w:val="Заголовок 5 Знак"/>
    <w:link w:val="771"/>
    <w:uiPriority w:val="9"/>
    <w:rPr>
      <w:rFonts w:ascii="Arial" w:hAnsi="Arial" w:eastAsia="Arial" w:cs="Arial"/>
      <w:b/>
      <w:bCs/>
      <w:sz w:val="24"/>
      <w:szCs w:val="24"/>
    </w:rPr>
  </w:style>
  <w:style w:type="character" w:styleId="801" w:customStyle="1">
    <w:name w:val="Заголовок 6 Знак"/>
    <w:link w:val="772"/>
    <w:uiPriority w:val="9"/>
    <w:rPr>
      <w:rFonts w:ascii="Arial" w:hAnsi="Arial" w:eastAsia="Arial" w:cs="Arial"/>
      <w:b/>
      <w:bCs/>
      <w:sz w:val="22"/>
      <w:szCs w:val="22"/>
    </w:rPr>
  </w:style>
  <w:style w:type="character" w:styleId="802" w:customStyle="1">
    <w:name w:val="Заголовок 7 Знак"/>
    <w:link w:val="77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03" w:customStyle="1">
    <w:name w:val="Заголовок 8 Знак"/>
    <w:link w:val="774"/>
    <w:uiPriority w:val="9"/>
    <w:rPr>
      <w:rFonts w:ascii="Arial" w:hAnsi="Arial" w:eastAsia="Arial" w:cs="Arial"/>
      <w:i/>
      <w:iCs/>
      <w:sz w:val="22"/>
      <w:szCs w:val="22"/>
    </w:rPr>
  </w:style>
  <w:style w:type="character" w:styleId="804" w:customStyle="1">
    <w:name w:val="Заголовок 9 Знак"/>
    <w:link w:val="775"/>
    <w:uiPriority w:val="9"/>
    <w:rPr>
      <w:rFonts w:ascii="Arial" w:hAnsi="Arial" w:eastAsia="Arial" w:cs="Arial"/>
      <w:i/>
      <w:iCs/>
      <w:sz w:val="21"/>
      <w:szCs w:val="21"/>
    </w:rPr>
  </w:style>
  <w:style w:type="paragraph" w:styleId="805">
    <w:name w:val="List Paragraph"/>
    <w:basedOn w:val="766"/>
    <w:uiPriority w:val="34"/>
    <w:qFormat/>
    <w:pPr>
      <w:contextualSpacing/>
      <w:ind w:left="720"/>
    </w:pPr>
  </w:style>
  <w:style w:type="paragraph" w:styleId="806">
    <w:name w:val="No Spacing"/>
    <w:uiPriority w:val="1"/>
    <w:qFormat/>
    <w:rPr>
      <w:lang w:eastAsia="zh-CN"/>
    </w:rPr>
  </w:style>
  <w:style w:type="paragraph" w:styleId="807">
    <w:name w:val="Title"/>
    <w:basedOn w:val="766"/>
    <w:next w:val="766"/>
    <w:link w:val="80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08" w:customStyle="1">
    <w:name w:val="Заголовок Знак"/>
    <w:link w:val="807"/>
    <w:uiPriority w:val="10"/>
    <w:rPr>
      <w:sz w:val="48"/>
      <w:szCs w:val="48"/>
    </w:rPr>
  </w:style>
  <w:style w:type="paragraph" w:styleId="809">
    <w:name w:val="Subtitle"/>
    <w:basedOn w:val="766"/>
    <w:next w:val="766"/>
    <w:link w:val="810"/>
    <w:uiPriority w:val="11"/>
    <w:qFormat/>
    <w:pPr>
      <w:spacing w:before="200" w:after="200"/>
    </w:pPr>
    <w:rPr>
      <w:sz w:val="24"/>
      <w:szCs w:val="24"/>
    </w:rPr>
  </w:style>
  <w:style w:type="character" w:styleId="810" w:customStyle="1">
    <w:name w:val="Подзаголовок Знак"/>
    <w:link w:val="809"/>
    <w:uiPriority w:val="11"/>
    <w:rPr>
      <w:sz w:val="24"/>
      <w:szCs w:val="24"/>
    </w:rPr>
  </w:style>
  <w:style w:type="paragraph" w:styleId="811">
    <w:name w:val="Quote"/>
    <w:basedOn w:val="766"/>
    <w:next w:val="766"/>
    <w:link w:val="812"/>
    <w:uiPriority w:val="29"/>
    <w:qFormat/>
    <w:pPr>
      <w:ind w:left="720" w:right="720"/>
    </w:pPr>
    <w:rPr>
      <w:i/>
    </w:rPr>
  </w:style>
  <w:style w:type="character" w:styleId="812" w:customStyle="1">
    <w:name w:val="Цитата 2 Знак"/>
    <w:link w:val="811"/>
    <w:uiPriority w:val="29"/>
    <w:rPr>
      <w:i/>
    </w:rPr>
  </w:style>
  <w:style w:type="paragraph" w:styleId="813">
    <w:name w:val="Intense Quote"/>
    <w:basedOn w:val="766"/>
    <w:next w:val="766"/>
    <w:link w:val="81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14" w:customStyle="1">
    <w:name w:val="Выделенная цитата Знак"/>
    <w:link w:val="813"/>
    <w:uiPriority w:val="30"/>
    <w:rPr>
      <w:i/>
    </w:rPr>
  </w:style>
  <w:style w:type="paragraph" w:styleId="815">
    <w:name w:val="Header"/>
    <w:basedOn w:val="766"/>
    <w:link w:val="816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6" w:customStyle="1">
    <w:name w:val="Верхний колонтитул Знак"/>
    <w:link w:val="815"/>
    <w:uiPriority w:val="99"/>
  </w:style>
  <w:style w:type="paragraph" w:styleId="817">
    <w:name w:val="Footer"/>
    <w:basedOn w:val="766"/>
    <w:link w:val="82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18" w:customStyle="1">
    <w:name w:val="Footer Char"/>
    <w:uiPriority w:val="99"/>
  </w:style>
  <w:style w:type="paragraph" w:styleId="819">
    <w:name w:val="Caption"/>
    <w:basedOn w:val="766"/>
    <w:next w:val="766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20" w:customStyle="1">
    <w:name w:val="Нижний колонтитул Знак"/>
    <w:link w:val="817"/>
    <w:uiPriority w:val="99"/>
  </w:style>
  <w:style w:type="table" w:styleId="821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2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3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4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25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6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7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28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63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0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3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0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84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8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1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908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12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9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6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7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8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9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0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1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2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3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4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5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46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47">
    <w:name w:val="Hyperlink"/>
    <w:rPr>
      <w:rFonts w:ascii="Times New Roman" w:hAnsi="Times New Roman" w:cs="Times New Roman"/>
      <w:color w:val="0000ff"/>
      <w:u w:val="single"/>
    </w:rPr>
  </w:style>
  <w:style w:type="paragraph" w:styleId="948">
    <w:name w:val="footnote text"/>
    <w:basedOn w:val="766"/>
    <w:link w:val="949"/>
    <w:uiPriority w:val="99"/>
    <w:semiHidden/>
    <w:unhideWhenUsed/>
    <w:pPr>
      <w:spacing w:after="40"/>
    </w:pPr>
    <w:rPr>
      <w:sz w:val="18"/>
    </w:rPr>
  </w:style>
  <w:style w:type="character" w:styleId="949" w:customStyle="1">
    <w:name w:val="Текст сноски Знак"/>
    <w:link w:val="948"/>
    <w:uiPriority w:val="99"/>
    <w:rPr>
      <w:sz w:val="18"/>
    </w:rPr>
  </w:style>
  <w:style w:type="character" w:styleId="950">
    <w:name w:val="footnote reference"/>
    <w:uiPriority w:val="99"/>
    <w:unhideWhenUsed/>
    <w:rPr>
      <w:vertAlign w:val="superscript"/>
    </w:rPr>
  </w:style>
  <w:style w:type="paragraph" w:styleId="951">
    <w:name w:val="endnote text"/>
    <w:basedOn w:val="766"/>
    <w:link w:val="952"/>
    <w:uiPriority w:val="99"/>
    <w:semiHidden/>
    <w:unhideWhenUsed/>
    <w:rPr>
      <w:sz w:val="20"/>
    </w:rPr>
  </w:style>
  <w:style w:type="character" w:styleId="952" w:customStyle="1">
    <w:name w:val="Текст концевой сноски Знак"/>
    <w:link w:val="951"/>
    <w:uiPriority w:val="99"/>
    <w:rPr>
      <w:sz w:val="20"/>
    </w:rPr>
  </w:style>
  <w:style w:type="character" w:styleId="953">
    <w:name w:val="endnote reference"/>
    <w:uiPriority w:val="99"/>
    <w:semiHidden/>
    <w:unhideWhenUsed/>
    <w:rPr>
      <w:vertAlign w:val="superscript"/>
    </w:rPr>
  </w:style>
  <w:style w:type="paragraph" w:styleId="954">
    <w:name w:val="toc 1"/>
    <w:basedOn w:val="766"/>
    <w:next w:val="766"/>
    <w:uiPriority w:val="39"/>
    <w:unhideWhenUsed/>
    <w:pPr>
      <w:spacing w:after="57"/>
    </w:pPr>
  </w:style>
  <w:style w:type="paragraph" w:styleId="955">
    <w:name w:val="toc 2"/>
    <w:basedOn w:val="766"/>
    <w:next w:val="766"/>
    <w:uiPriority w:val="39"/>
    <w:unhideWhenUsed/>
    <w:pPr>
      <w:ind w:left="283"/>
      <w:spacing w:after="57"/>
    </w:pPr>
  </w:style>
  <w:style w:type="paragraph" w:styleId="956">
    <w:name w:val="toc 3"/>
    <w:basedOn w:val="766"/>
    <w:next w:val="766"/>
    <w:uiPriority w:val="39"/>
    <w:unhideWhenUsed/>
    <w:pPr>
      <w:ind w:left="567"/>
      <w:spacing w:after="57"/>
    </w:pPr>
  </w:style>
  <w:style w:type="paragraph" w:styleId="957">
    <w:name w:val="toc 4"/>
    <w:basedOn w:val="766"/>
    <w:next w:val="766"/>
    <w:uiPriority w:val="39"/>
    <w:unhideWhenUsed/>
    <w:pPr>
      <w:ind w:left="850"/>
      <w:spacing w:after="57"/>
    </w:pPr>
  </w:style>
  <w:style w:type="paragraph" w:styleId="958">
    <w:name w:val="toc 5"/>
    <w:basedOn w:val="766"/>
    <w:next w:val="766"/>
    <w:uiPriority w:val="39"/>
    <w:unhideWhenUsed/>
    <w:pPr>
      <w:ind w:left="1134"/>
      <w:spacing w:after="57"/>
    </w:pPr>
  </w:style>
  <w:style w:type="paragraph" w:styleId="959">
    <w:name w:val="toc 6"/>
    <w:basedOn w:val="766"/>
    <w:next w:val="766"/>
    <w:uiPriority w:val="39"/>
    <w:unhideWhenUsed/>
    <w:pPr>
      <w:ind w:left="1417"/>
      <w:spacing w:after="57"/>
    </w:pPr>
  </w:style>
  <w:style w:type="paragraph" w:styleId="960">
    <w:name w:val="toc 7"/>
    <w:basedOn w:val="766"/>
    <w:next w:val="766"/>
    <w:uiPriority w:val="39"/>
    <w:unhideWhenUsed/>
    <w:pPr>
      <w:ind w:left="1701"/>
      <w:spacing w:after="57"/>
    </w:pPr>
  </w:style>
  <w:style w:type="paragraph" w:styleId="961">
    <w:name w:val="toc 8"/>
    <w:basedOn w:val="766"/>
    <w:next w:val="766"/>
    <w:uiPriority w:val="39"/>
    <w:unhideWhenUsed/>
    <w:pPr>
      <w:ind w:left="1984"/>
      <w:spacing w:after="57"/>
    </w:pPr>
  </w:style>
  <w:style w:type="paragraph" w:styleId="962">
    <w:name w:val="toc 9"/>
    <w:basedOn w:val="766"/>
    <w:next w:val="766"/>
    <w:uiPriority w:val="39"/>
    <w:unhideWhenUsed/>
    <w:pPr>
      <w:ind w:left="2268"/>
      <w:spacing w:after="57"/>
    </w:pPr>
  </w:style>
  <w:style w:type="paragraph" w:styleId="963">
    <w:name w:val="TOC Heading"/>
    <w:uiPriority w:val="39"/>
    <w:unhideWhenUsed/>
    <w:rPr>
      <w:lang w:eastAsia="zh-CN"/>
    </w:rPr>
  </w:style>
  <w:style w:type="paragraph" w:styleId="964">
    <w:name w:val="table of figures"/>
    <w:basedOn w:val="766"/>
    <w:next w:val="766"/>
    <w:uiPriority w:val="99"/>
    <w:unhideWhenUsed/>
  </w:style>
  <w:style w:type="character" w:styleId="965" w:customStyle="1">
    <w:name w:val="Верхний колонтитул Знак;Знак Знак"/>
    <w:link w:val="966"/>
    <w:rPr>
      <w:sz w:val="28"/>
      <w:szCs w:val="28"/>
      <w:lang w:val="ru-RU" w:eastAsia="ru-RU" w:bidi="ar-SA"/>
    </w:rPr>
  </w:style>
  <w:style w:type="paragraph" w:styleId="966" w:customStyle="1">
    <w:name w:val="Верхний колонтитул;Знак"/>
    <w:basedOn w:val="766"/>
    <w:link w:val="965"/>
    <w:pPr>
      <w:tabs>
        <w:tab w:val="center" w:pos="4153" w:leader="none"/>
        <w:tab w:val="right" w:pos="8306" w:leader="none"/>
      </w:tabs>
    </w:pPr>
  </w:style>
  <w:style w:type="character" w:styleId="967" w:customStyle="1">
    <w:name w:val="Основной текст 2 Знак"/>
    <w:link w:val="968"/>
    <w:rPr>
      <w:sz w:val="28"/>
      <w:szCs w:val="28"/>
      <w:lang w:val="ru-RU" w:eastAsia="ru-RU" w:bidi="ar-SA"/>
    </w:rPr>
  </w:style>
  <w:style w:type="paragraph" w:styleId="968">
    <w:name w:val="Body Text 2"/>
    <w:basedOn w:val="766"/>
    <w:link w:val="967"/>
    <w:pPr>
      <w:jc w:val="both"/>
    </w:pPr>
  </w:style>
  <w:style w:type="character" w:styleId="969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70">
    <w:name w:val="Balloon Text"/>
    <w:basedOn w:val="766"/>
    <w:link w:val="971"/>
    <w:rPr>
      <w:rFonts w:ascii="Tahoma" w:hAnsi="Tahoma" w:cs="Tahoma"/>
      <w:sz w:val="16"/>
      <w:szCs w:val="16"/>
    </w:rPr>
  </w:style>
  <w:style w:type="character" w:styleId="971" w:customStyle="1">
    <w:name w:val="Текст выноски Знак"/>
    <w:link w:val="970"/>
    <w:rPr>
      <w:rFonts w:ascii="Tahoma" w:hAnsi="Tahoma" w:cs="Tahoma"/>
      <w:sz w:val="16"/>
      <w:szCs w:val="16"/>
    </w:rPr>
  </w:style>
  <w:style w:type="paragraph" w:styleId="972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73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74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75" w:customStyle="1">
    <w:name w:val="Основной текст1"/>
    <w:basedOn w:val="864"/>
    <w:link w:val="870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51</cp:revision>
  <dcterms:created xsi:type="dcterms:W3CDTF">2023-01-10T08:31:00Z</dcterms:created>
  <dcterms:modified xsi:type="dcterms:W3CDTF">2025-08-07T04:21:30Z</dcterms:modified>
  <cp:version>1048576</cp:version>
</cp:coreProperties>
</file>