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8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8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</w:pPr>
      <w:r>
        <w:t xml:space="preserve">ПРИКАЗ</w:t>
      </w:r>
      <w:r/>
    </w:p>
    <w:p>
      <w:pPr>
        <w:pStyle w:val="885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0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«___»___________2025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5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 09.10.2018 № 95 «Об ут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верждении перечня государственных услуг Новосибирской области, предоставляемых областными исполнительными органами Новосибирской области в многофункциональных центрах предоставления государственных и муниципальных услуг на территории Новосибирской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Style w:val="893"/>
          <w:rFonts w:eastAsiaTheme="minorHAnsi"/>
          <w:b/>
          <w:sz w:val="28"/>
          <w:szCs w:val="28"/>
        </w:rPr>
      </w:pPr>
      <w:r>
        <w:rPr>
          <w:rStyle w:val="893"/>
          <w:rFonts w:eastAsiaTheme="minorHAnsi"/>
          <w:b/>
          <w:sz w:val="28"/>
          <w:szCs w:val="28"/>
        </w:rPr>
        <w:t xml:space="preserve">П</w:t>
      </w:r>
      <w:r>
        <w:rPr>
          <w:rStyle w:val="893"/>
          <w:rFonts w:eastAsiaTheme="minorHAnsi"/>
          <w:b/>
          <w:sz w:val="28"/>
          <w:szCs w:val="28"/>
        </w:rPr>
        <w:t xml:space="preserve">риказываю:</w:t>
      </w:r>
      <w:r>
        <w:rPr>
          <w:rStyle w:val="893"/>
          <w:rFonts w:eastAsiaTheme="minorHAnsi"/>
          <w:b/>
          <w:sz w:val="28"/>
          <w:szCs w:val="28"/>
        </w:rPr>
      </w:r>
      <w:r>
        <w:rPr>
          <w:rStyle w:val="893"/>
          <w:rFonts w:eastAsiaTheme="minorHAnsi"/>
          <w:b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экономического развития Новосибирской области от 09.10.201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№ 9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5 «Об утверждении перечня государственных услуг Новосибирской области, предоставляемых областными исполнительными органами Новосибирской области в многофункциональных центрах предоставления государственных и муниципальных услуг на территории Новосибир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ской области» (в редакции приказов министерства экономического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развития Новосибирской области от 27.03.2019 № 37, от 14.04.2020 № 37, от 30.06.2021 № 83, от 30.03.2022 № 43, от 07.06.2022 № 69, от 15.12.2022 № 192, от 19.12.2023 № 185,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 29.05.2024 № 99-НПА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)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перечне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государственных услуг Новосибирской области, предоставляемых областными исполнительными органами Новосибирской области в многофункциональных центрах предоставления государственных и муниципальных услуг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sz w:val="28"/>
          <w:szCs w:val="28"/>
          <w:highlight w:val="none"/>
        </w:rPr>
        <w:t xml:space="preserve">В пункте 29: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слово «разрешений» заменить словом «разрешения»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слово «объектов» заменить словом «объекта»;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/>
          <w:sz w:val="28"/>
          <w:szCs w:val="28"/>
          <w:highlight w:val="none"/>
        </w:rPr>
        <w:t xml:space="preserve">после слова «районов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» до</w:t>
      </w:r>
      <w:r>
        <w:rPr>
          <w:rFonts w:ascii="Times New Roman" w:hAnsi="Times New Roman"/>
          <w:sz w:val="28"/>
          <w:szCs w:val="28"/>
          <w:highlight w:val="none"/>
        </w:rPr>
        <w:t xml:space="preserve">полнить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</w:t>
      </w:r>
      <w:r>
        <w:rPr>
          <w:rFonts w:ascii="Times New Roman" w:hAnsi="Times New Roman"/>
          <w:sz w:val="28"/>
          <w:szCs w:val="28"/>
          <w:highlight w:val="none"/>
        </w:rPr>
        <w:t xml:space="preserve">ми</w:t>
      </w:r>
      <w:r>
        <w:rPr>
          <w:rFonts w:ascii="Times New Roman" w:hAnsi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муниципальных округов,».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Пункт 33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признать утратившим силу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Пункт 52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«52. Предоставление многодетным семьям ежегодной денежной выплаты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4. Пункт 54 изложить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54.</w:t>
      </w:r>
      <w:r>
        <w:rPr>
          <w:highlight w:val="none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5. 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Пункт 79 изложить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«79.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Выплата государственных единовременных пособий и ежемесячных денежных компенсаций гражданам при возникновении у них поствакцинальных осложнений.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6. 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Пункт 80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признать утратившим силу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7. 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Пункт 81 изложить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«81.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Ежегодная денежная выплата лицам, награжденным нагрудным знаком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Почетный донор России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Почетный донор СССР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, имеющим статус Почетный донор Украины, Почетный донор Донецкой Народной Республики, Почетный донор Луганской Народной Республики.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8. 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Пункты 106, 106.1, 10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8, 110-115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признать утратившими силу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9. Дополнить пунктом 11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5.11 следующего содержания: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«115.11.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Предоставление путевок для отдыха и оздоровления детей.».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10. В пункте 116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после слов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«аккредитация» дополнить словом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«региональных».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 П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ункт 127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«127.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 Новосибирской области, без проведения торг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128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слова «, гражданам и крестьянским (фермерским) хозяйствам для осуществления крестьянским (фермерским) хозяйством его деятельности» заменить словами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для собственных нужд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spacing w:after="0" w:line="240" w:lineRule="auto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13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ункты 129, 130, 131 признать утратившими силу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14. 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пункте 133 слово «государственной» исключить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15. 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Пункт 136.3 изложить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«136.3.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Предоставление земельного участка, находящегося в государст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венной собственности Новосибирской области, на торгах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16. 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Пункт 136.5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изложить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«136.5.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без проведения торгов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17. 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Пункт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136.6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признать утратившим силу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18. В пункте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136.7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слова «, гражданину и крестьянскому (фермерскому) хозяйству для осуществления крестьянским (фермерским) хозяйством его деятельности» заменить словами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для собственных нужд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19. Пу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нкт 136.8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изложить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«136.8.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20. 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Пункты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136.9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, 136.12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признать утратившими силу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21. 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Пункт 142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изложить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firstLine="709"/>
        <w:tabs>
          <w:tab w:val="left" w:pos="108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«142.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ыдача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регионального значения, или выявленного объ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екта культурного наследия.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Я.И. Ткачева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238-67-68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938"/>
        <w:gridCol w:w="3307"/>
      </w:tblGrid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Заместитель министра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19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W w:w="330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В.Б. Шовтак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«___» ___________2025г.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совершенствования государственного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и регуляторной политики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9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0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О.В. Москвина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9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0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Н.Г. Телегина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финансовой,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9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0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Н.В. Тукмачева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t xml:space="preserve">является НПА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3246406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10"/>
    <w:link w:val="702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10"/>
    <w:link w:val="723"/>
    <w:uiPriority w:val="10"/>
    <w:rPr>
      <w:sz w:val="48"/>
      <w:szCs w:val="48"/>
    </w:rPr>
  </w:style>
  <w:style w:type="character" w:styleId="693">
    <w:name w:val="Subtitle Char"/>
    <w:basedOn w:val="710"/>
    <w:link w:val="725"/>
    <w:uiPriority w:val="11"/>
    <w:rPr>
      <w:sz w:val="24"/>
      <w:szCs w:val="24"/>
    </w:rPr>
  </w:style>
  <w:style w:type="character" w:styleId="694">
    <w:name w:val="Quote Char"/>
    <w:link w:val="727"/>
    <w:uiPriority w:val="29"/>
    <w:rPr>
      <w:i/>
    </w:rPr>
  </w:style>
  <w:style w:type="character" w:styleId="695">
    <w:name w:val="Intense Quote Char"/>
    <w:link w:val="729"/>
    <w:uiPriority w:val="30"/>
    <w:rPr>
      <w:i/>
    </w:rPr>
  </w:style>
  <w:style w:type="character" w:styleId="696">
    <w:name w:val="Header Char"/>
    <w:basedOn w:val="710"/>
    <w:link w:val="731"/>
    <w:uiPriority w:val="99"/>
  </w:style>
  <w:style w:type="character" w:styleId="697">
    <w:name w:val="Caption Char"/>
    <w:basedOn w:val="735"/>
    <w:link w:val="733"/>
    <w:uiPriority w:val="99"/>
  </w:style>
  <w:style w:type="character" w:styleId="698">
    <w:name w:val="Footnote Text Char"/>
    <w:link w:val="863"/>
    <w:uiPriority w:val="99"/>
    <w:rPr>
      <w:sz w:val="18"/>
    </w:rPr>
  </w:style>
  <w:style w:type="character" w:styleId="699">
    <w:name w:val="Endnote Text Char"/>
    <w:link w:val="866"/>
    <w:uiPriority w:val="99"/>
    <w:rPr>
      <w:sz w:val="20"/>
    </w:rPr>
  </w:style>
  <w:style w:type="paragraph" w:styleId="700" w:default="1">
    <w:name w:val="Normal"/>
    <w:qFormat/>
  </w:style>
  <w:style w:type="paragraph" w:styleId="701">
    <w:name w:val="Heading 1"/>
    <w:basedOn w:val="700"/>
    <w:next w:val="700"/>
    <w:link w:val="887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02">
    <w:name w:val="Heading 2"/>
    <w:basedOn w:val="700"/>
    <w:next w:val="700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</w:style>
  <w:style w:type="paragraph" w:styleId="723">
    <w:name w:val="Title"/>
    <w:basedOn w:val="700"/>
    <w:next w:val="700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10"/>
    <w:link w:val="723"/>
    <w:uiPriority w:val="10"/>
    <w:rPr>
      <w:sz w:val="48"/>
      <w:szCs w:val="48"/>
    </w:rPr>
  </w:style>
  <w:style w:type="paragraph" w:styleId="725">
    <w:name w:val="Subtitle"/>
    <w:basedOn w:val="700"/>
    <w:next w:val="700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10"/>
    <w:link w:val="725"/>
    <w:uiPriority w:val="11"/>
    <w:rPr>
      <w:sz w:val="24"/>
      <w:szCs w:val="24"/>
    </w:rPr>
  </w:style>
  <w:style w:type="paragraph" w:styleId="727">
    <w:name w:val="Quote"/>
    <w:basedOn w:val="700"/>
    <w:next w:val="700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0"/>
    <w:next w:val="700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700"/>
    <w:link w:val="7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2" w:customStyle="1">
    <w:name w:val="Верхний колонтитул Знак"/>
    <w:basedOn w:val="710"/>
    <w:link w:val="731"/>
    <w:uiPriority w:val="99"/>
  </w:style>
  <w:style w:type="paragraph" w:styleId="733">
    <w:name w:val="Footer"/>
    <w:basedOn w:val="700"/>
    <w:link w:val="7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basedOn w:val="710"/>
    <w:uiPriority w:val="99"/>
  </w:style>
  <w:style w:type="paragraph" w:styleId="735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 w:customStyle="1">
    <w:name w:val="Нижний колонтитул Знак"/>
    <w:link w:val="733"/>
    <w:uiPriority w:val="99"/>
  </w:style>
  <w:style w:type="table" w:styleId="737" w:customStyle="1">
    <w:name w:val="Table Grid Light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1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1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1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1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1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1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1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1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1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1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1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1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1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1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1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1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1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1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71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1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1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1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71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1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1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1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1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1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1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1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1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1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1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1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1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1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1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1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71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1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1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1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1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1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1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1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1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1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1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1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1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1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700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710"/>
    <w:uiPriority w:val="99"/>
    <w:unhideWhenUsed/>
    <w:rPr>
      <w:vertAlign w:val="superscript"/>
    </w:rPr>
  </w:style>
  <w:style w:type="paragraph" w:styleId="866">
    <w:name w:val="endnote text"/>
    <w:basedOn w:val="700"/>
    <w:link w:val="867"/>
    <w:uiPriority w:val="99"/>
    <w:semiHidden/>
    <w:unhideWhenUsed/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710"/>
    <w:uiPriority w:val="99"/>
    <w:semiHidden/>
    <w:unhideWhenUsed/>
    <w:rPr>
      <w:vertAlign w:val="superscript"/>
    </w:rPr>
  </w:style>
  <w:style w:type="paragraph" w:styleId="869">
    <w:name w:val="toc 1"/>
    <w:basedOn w:val="700"/>
    <w:next w:val="700"/>
    <w:uiPriority w:val="39"/>
    <w:unhideWhenUsed/>
    <w:pPr>
      <w:spacing w:after="57"/>
    </w:pPr>
  </w:style>
  <w:style w:type="paragraph" w:styleId="870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1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2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3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4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5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6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7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700"/>
    <w:next w:val="700"/>
    <w:uiPriority w:val="99"/>
    <w:unhideWhenUsed/>
  </w:style>
  <w:style w:type="character" w:styleId="880" w:customStyle="1">
    <w:name w:val="Основной текст (2)_"/>
    <w:basedOn w:val="710"/>
    <w:link w:val="884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81" w:customStyle="1">
    <w:name w:val="Основной текст_"/>
    <w:basedOn w:val="710"/>
    <w:link w:val="885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82" w:customStyle="1">
    <w:name w:val="Основной текст (3)_"/>
    <w:basedOn w:val="710"/>
    <w:link w:val="886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83" w:customStyle="1">
    <w:name w:val="Основной текст + 56 pt;Интервал -1 pt"/>
    <w:basedOn w:val="881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4" w:customStyle="1">
    <w:name w:val="Основной текст (2)"/>
    <w:basedOn w:val="700"/>
    <w:link w:val="880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5" w:customStyle="1">
    <w:name w:val="Основной текст1"/>
    <w:basedOn w:val="700"/>
    <w:link w:val="881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6" w:customStyle="1">
    <w:name w:val="Основной текст (3)"/>
    <w:basedOn w:val="700"/>
    <w:link w:val="882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7" w:customStyle="1">
    <w:name w:val="Заголовок 1 Знак"/>
    <w:basedOn w:val="710"/>
    <w:link w:val="70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8">
    <w:name w:val="Body Text"/>
    <w:basedOn w:val="700"/>
    <w:link w:val="889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9" w:customStyle="1">
    <w:name w:val="Основной текст Знак"/>
    <w:basedOn w:val="710"/>
    <w:link w:val="888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90">
    <w:name w:val="Table Grid"/>
    <w:basedOn w:val="711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Balloon Text"/>
    <w:basedOn w:val="700"/>
    <w:link w:val="892"/>
    <w:uiPriority w:val="99"/>
    <w:semiHidden/>
    <w:unhideWhenUsed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710"/>
    <w:link w:val="891"/>
    <w:uiPriority w:val="99"/>
    <w:semiHidden/>
    <w:rPr>
      <w:rFonts w:ascii="Tahoma" w:hAnsi="Tahoma" w:cs="Tahoma"/>
      <w:sz w:val="16"/>
      <w:szCs w:val="16"/>
    </w:rPr>
  </w:style>
  <w:style w:type="character" w:styleId="893" w:customStyle="1">
    <w:name w:val="Основной текст + Интервал 3 pt"/>
    <w:basedOn w:val="88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4">
    <w:name w:val="List Paragraph"/>
    <w:basedOn w:val="700"/>
    <w:uiPriority w:val="34"/>
    <w:qFormat/>
    <w:pPr>
      <w:contextualSpacing/>
      <w:ind w:left="720"/>
    </w:pPr>
  </w:style>
  <w:style w:type="paragraph" w:styleId="895" w:customStyle="1">
    <w:name w:val="Основной текст2"/>
    <w:basedOn w:val="700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table" w:styleId="896" w:customStyle="1">
    <w:name w:val="Сетка таблицы1"/>
    <w:basedOn w:val="711"/>
    <w:next w:val="890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35</cp:revision>
  <dcterms:created xsi:type="dcterms:W3CDTF">2019-12-16T10:32:00Z</dcterms:created>
  <dcterms:modified xsi:type="dcterms:W3CDTF">2025-03-11T08:12:24Z</dcterms:modified>
</cp:coreProperties>
</file>