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>АДМИНИСТРАЦИЯ ГОРОДА БЕРДСКА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ПОСТАНОВЛЕНИЕ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color w:val="B2B2B2"/>
        </w:rPr>
      </w:pPr>
      <w:r>
        <w:rPr>
          <w:color w:val="FFFFFF"/>
          <w:sz w:val="28"/>
          <w:szCs w:val="28"/>
        </w:rPr>
        <w:t>___________</w:t>
      </w:r>
      <w:r>
        <w:rPr>
          <w:color w:val="B2B2B2"/>
          <w:sz w:val="28"/>
          <w:szCs w:val="28"/>
        </w:rPr>
        <w:t xml:space="preserve">           [МЕСТО ДЛЯ ШТАМПА]          </w:t>
      </w:r>
      <w:r>
        <w:rPr>
          <w:color w:val="FFFFFF"/>
          <w:sz w:val="28"/>
          <w:szCs w:val="28"/>
          <w:highlight w:val="white"/>
        </w:rPr>
        <w:t>№ _________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Об утверждении административного регламента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администрации города Бердска по предоставлению муниципальной услуги </w:t>
      </w:r>
    </w:p>
    <w:p>
      <w:pPr>
        <w:pStyle w:val="Normal"/>
        <w:jc w:val="center"/>
        <w:rPr/>
      </w:pPr>
      <w:r>
        <w:rPr>
          <w:sz w:val="28"/>
          <w:szCs w:val="28"/>
        </w:rPr>
        <w:t>«Выдача разрешения на ввод объекта в эксплуатацию»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 xml:space="preserve"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 администрации города Бердска от 18.03.2024 № 1072/65 «Об утверждении Порядка разработки и утверждения административных регламентов предоставления муниципальных услуг» </w:t>
      </w:r>
    </w:p>
    <w:p>
      <w:pPr>
        <w:pStyle w:val="Normal"/>
        <w:jc w:val="both"/>
        <w:rPr/>
      </w:pPr>
      <w:r>
        <w:rPr>
          <w:sz w:val="28"/>
          <w:szCs w:val="28"/>
        </w:rPr>
        <w:t>ПОСТАНОВЛЯЮ: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 xml:space="preserve">1. Утвердить административный регламент администрации города Бердска по предоставлению муниципальной услуги «Выдача разрешения на ввод объекта в эксплуатацию» </w:t>
      </w:r>
      <w:r>
        <w:rPr>
          <w:color w:val="000000"/>
          <w:sz w:val="28"/>
          <w:szCs w:val="28"/>
          <w:lang w:eastAsia="ru-RU"/>
        </w:rPr>
        <w:t>согласно приложению</w:t>
      </w:r>
      <w:r>
        <w:rPr>
          <w:sz w:val="28"/>
          <w:szCs w:val="28"/>
        </w:rPr>
        <w:t>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2. Признать утратившим силу постановление администрации города Бердска от 12.02.2025 № 449/65 «Об утверждении административного регламента администрации города Бердска по предоставлению муниципальной услуги «Выдача разрешения на ввод объекта в эксплуатацию».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Управлению градостроительства администрации города Бердска (Замулина Т.А.) обеспечить исполнение административного регламента предоставления муниципальной услуги «Выдача разрешения на ввод объекта в эксплуатацию».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Опубликовать настоящее постановление в печатном издании 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«Вестник-Бердск» и разместить на официальном сайте администрации города Бердска.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Настоящее постановление вступает в силу со дня его опубликования.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по исполнению настоящего постановления возложить на заместителя главы администрации по строительству Чудновца Ю.И.</w:t>
      </w:r>
    </w:p>
    <w:p>
      <w:pPr>
        <w:pStyle w:val="Normal"/>
        <w:keepNext w:val="true"/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Глава города Бердска                                                                                  С.Ю. Лапицкий</w:t>
      </w:r>
    </w:p>
    <w:p>
      <w:pPr>
        <w:pStyle w:val="Normal"/>
        <w:tabs>
          <w:tab w:val="left" w:pos="1134" w:leader="none"/>
        </w:tabs>
        <w:spacing w:before="0" w:after="160"/>
        <w:ind w:firstLine="737"/>
        <w:contextualSpacing/>
        <w:jc w:val="center"/>
        <w:rPr>
          <w:color w:val="B2B2B2"/>
          <w:sz w:val="28"/>
          <w:szCs w:val="28"/>
        </w:rPr>
      </w:pPr>
      <w:r>
        <w:rPr>
          <w:color w:val="B2B2B2"/>
          <w:sz w:val="27"/>
          <w:szCs w:val="27"/>
          <w:highlight w:val="white"/>
        </w:rPr>
        <w:t>[МЕСТО ДЛЯ ПОДПИСИ</w:t>
      </w:r>
      <w:r>
        <w:rPr>
          <w:color w:val="B2B2B2"/>
          <w:sz w:val="31"/>
          <w:szCs w:val="27"/>
          <w:highlight w:val="white"/>
        </w:rPr>
        <w:t>]</w:t>
      </w:r>
    </w:p>
    <w:p>
      <w:pPr>
        <w:pStyle w:val="Normal"/>
        <w:tabs>
          <w:tab w:val="left" w:pos="1134" w:leader="none"/>
        </w:tabs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spacing w:before="0" w:after="160"/>
        <w:contextualSpacing/>
        <w:jc w:val="both"/>
        <w:rPr/>
      </w:pPr>
      <w:r>
        <w:rPr/>
      </w:r>
    </w:p>
    <w:p>
      <w:pPr>
        <w:pStyle w:val="Normal"/>
        <w:tabs>
          <w:tab w:val="clear" w:pos="1134"/>
          <w:tab w:val="left" w:pos="0" w:leader="none"/>
        </w:tabs>
        <w:jc w:val="both"/>
        <w:rPr/>
      </w:pPr>
      <w:r>
        <w:rPr>
          <w:szCs w:val="20"/>
        </w:rPr>
        <w:t>Т.А.Замулина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contextualSpacing/>
        <w:jc w:val="both"/>
        <w:rPr>
          <w:szCs w:val="20"/>
        </w:rPr>
      </w:pPr>
      <w:r>
        <w:rPr>
          <w:szCs w:val="20"/>
        </w:rPr>
        <w:t>20525</w:t>
      </w:r>
      <w:r>
        <w:br w:type="page"/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ПРИЛОЖЕНИЕ</w:t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города Бердска</w:t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от __________ № ____________</w:t>
      </w:r>
    </w:p>
    <w:p>
      <w:pPr>
        <w:pStyle w:val="Normal"/>
        <w:ind w:left="7371"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ru-RU"/>
        </w:rPr>
        <w:t>АДМИНИСТРАТИВНЫЙ РЕГЛАМЕНТ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ru-RU"/>
        </w:rPr>
        <w:t>по предоставлению муниципальной услуги «</w:t>
      </w:r>
      <w:r>
        <w:rPr>
          <w:b/>
          <w:sz w:val="28"/>
          <w:szCs w:val="28"/>
        </w:rPr>
        <w:t>Выдача разрешения на ввод объекта в эксплуатацию»</w:t>
      </w:r>
    </w:p>
    <w:p>
      <w:pPr>
        <w:pStyle w:val="Normal"/>
        <w:spacing w:before="24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rFonts w:eastAsia="Yu Gothic Light"/>
          <w:b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муниципальной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Выдача разрешения на ввод объекта в эксплуатацию»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>физическим лицам, юридическим лицам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16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16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b/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ввод объекта в эксплуатацию.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 предоставляется а</w:t>
      </w:r>
      <w:r>
        <w:rPr>
          <w:sz w:val="28"/>
          <w:szCs w:val="28"/>
        </w:rPr>
        <w:t xml:space="preserve">дминистрацией города Бердска </w:t>
      </w:r>
      <w:r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</w:rPr>
        <w:t>Орган местного самоуправления).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разрешения на ввод в эксплуатацию результатами предоставления услуги 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keepNext w:val="true"/>
        <w:ind w:firstLine="709"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дубликата разрешения на ввод объекта в эксплуатацию результатом предоставления услуги является дубликат разрешения на ввод объекта в эксплуатацию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«ДУБЛИКАТ»).</w:t>
      </w:r>
    </w:p>
    <w:p>
      <w:pPr>
        <w:pStyle w:val="Normal"/>
        <w:keepNext w:val="true"/>
        <w:ind w:firstLine="709"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 результатами предоставления услуги 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Next w:val="true"/>
        <w:ind w:firstLine="709"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на Едином портале, в Органе местного самоуправления, в МФЦ,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заказным почтовым отправлением с уведомлением о вручении.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5 рабочих дней с даты регистрации заявления о предоставлении услуги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оснований для отказа</w:t>
        <w:br/>
        <w:t>в приеме 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 для отказа в приеме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подаче 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 15 минут.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1) 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2) 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3) 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4) 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5) 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6) помещение включает зал ожидания и места для приема граждан;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7) 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 xml:space="preserve">8) помещения, в которых предоставляется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слуга, должны соответствовать санитарно-эпидемиологическим правилам и нормативам;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9) 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Показателям доступности предоставления услуги относятся: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left="0" w:firstLine="680"/>
        <w:contextualSpacing/>
        <w:jc w:val="both"/>
        <w:rPr/>
      </w:pPr>
      <w:r>
        <w:rPr>
          <w:sz w:val="28"/>
          <w:szCs w:val="28"/>
        </w:rPr>
        <w:t>полнота, актуальность и доступность информации о порядке предоставления услуги, способах, порядке и условиях ее получения (в том числе размещение информации на официальном сайте органа местного самоуправления, Едином портале, информационных стендах, размещенных в помещениях, где предоставляется услуга, наличие памяток, буклетов)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left="0" w:firstLine="680"/>
        <w:contextualSpacing/>
        <w:jc w:val="both"/>
        <w:rPr/>
      </w:pPr>
      <w:r>
        <w:rPr>
          <w:sz w:val="28"/>
          <w:szCs w:val="28"/>
        </w:rPr>
        <w:t>предусмотрена обязанность при приеме заявления на получение услуги проинформировать заявителя о действиях, которые от него ожидаются в рамках получения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left="0" w:firstLine="680"/>
        <w:contextualSpacing/>
        <w:jc w:val="both"/>
        <w:rPr/>
      </w:pPr>
      <w:r>
        <w:rPr>
          <w:sz w:val="28"/>
          <w:szCs w:val="28"/>
        </w:rPr>
        <w:t>возможность информирования заявителя о ходе предоставления услуги через личный кабинет на Едином портале независимо от способа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left="0" w:firstLine="680"/>
        <w:contextualSpacing/>
        <w:jc w:val="both"/>
        <w:rPr/>
      </w:pPr>
      <w:r>
        <w:rPr>
          <w:sz w:val="28"/>
          <w:szCs w:val="28"/>
        </w:rPr>
        <w:t>доступность электронных форм документов, необходимых для предоставления услуги.</w:t>
      </w:r>
    </w:p>
    <w:p>
      <w:pPr>
        <w:pStyle w:val="Normal"/>
        <w:tabs>
          <w:tab w:val="clear" w:pos="1134"/>
          <w:tab w:val="left" w:pos="0" w:leader="none"/>
        </w:tabs>
        <w:spacing w:before="0" w:after="0"/>
        <w:contextualSpacing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1)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2) минимально возможное количество взаимодействий гражданина с должностными лицами, участвующими в предоставлении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3) 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заявителей;</w:t>
      </w:r>
    </w:p>
    <w:p>
      <w:pPr>
        <w:pStyle w:val="Normal"/>
        <w:tabs>
          <w:tab w:val="clear" w:pos="1134"/>
          <w:tab w:val="left" w:pos="1073" w:leader="none"/>
        </w:tabs>
        <w:spacing w:before="0" w:after="0"/>
        <w:contextualSpacing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4) обоснованность отказов в предоставлении услуги, наличие причины, основания отказа, изложенных в доступной, понятной и легкой для восприятия форме с учетом профиля заявителя;</w:t>
      </w:r>
    </w:p>
    <w:p>
      <w:pPr>
        <w:pStyle w:val="Normal"/>
        <w:tabs>
          <w:tab w:val="clear" w:pos="1134"/>
          <w:tab w:val="left" w:pos="1073" w:leader="none"/>
        </w:tabs>
        <w:spacing w:before="0" w:after="0"/>
        <w:contextualSpacing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5) 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contextualSpacing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6) отсутствие нарушений установленных сроков в процессе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Перечень услуг, являющихся необходимыми и обязательными: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проведение кадастровых работ в целях выдачи межевого плана, технического плана, акта обследования (за предоставление указанной услуги предусмотрена плата, установленная законодательством Российской Федерации);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изготовление технического плана объекта капитального строительства, подготовленного в соответствии с Федеральным законом от 13 июля 2015 года № 218-ФЗ «О государственной регистрации недвижимости» (</w:t>
      </w:r>
      <w:r>
        <w:rPr>
          <w:sz w:val="28"/>
          <w:szCs w:val="28"/>
          <w:lang w:eastAsia="ru-RU"/>
        </w:rPr>
        <w:t xml:space="preserve">за предоставление указанной услуги предусмотрена плата, установленная законодательством Российской Федерации 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заключения по обследованию технического состояния объекта (за предоставление указанной услуги предусмотрена плата, установленная законодательством Российской Федерации).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Style16"/>
          <w:sz w:val="28"/>
          <w:szCs w:val="28"/>
          <w:lang w:eastAsia="ru-RU"/>
        </w:rPr>
        <w:footnoteReference w:id="4"/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разрешения на ввод в эксплуатацию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/>
      </w:pPr>
      <w:r>
        <w:rPr>
          <w:sz w:val="28"/>
          <w:szCs w:val="28"/>
        </w:rPr>
        <w:t xml:space="preserve">Вариант 1: физическое лицо, заявитель обратился через представителя,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 xml:space="preserve">1 статьи 54 Градостроительного кодекса Российской Федерации </w:t>
      </w:r>
      <w:r>
        <w:rPr>
          <w:sz w:val="28"/>
          <w:szCs w:val="28"/>
          <w:lang w:val="en-US"/>
        </w:rPr>
        <w:t>(далее – ГрК РФ)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Вариант 2: физическое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Вариант 3: физическое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ГрК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Вариант 4: физическое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Вариант 5: физическое лицо, заявитель обратился лично,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ГрК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Вариант 6: физическое лицо, заявитель обратился лично,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Вариант 7: физическое лицо, заявитель обратился лично, не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ГрК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Вариант 8: физическое лицо, заявитель обратился лично, не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Вариант 9: юридическое лицо, заявитель обратился через представителя,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ГрК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Вариант 10: юридическое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Вариант 11: юридическое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ГрК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Вариант 12: юридическое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Вариант 13: юридическое лицо, заявитель обратился лично,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ГрК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Вариант 14: юридическое лицо, заявитель обратился лично,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Вариант 15: юридическое лицо, заявитель обратился лично, не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ГрК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Вариант 16: юридическое лицо, заявитель обратился лично, не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дубликата разрешения на ввод объекта в эксплуатацию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Вариант 17: юридическое лицо, Заявитель обратился лично;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Вариант 18: юридическое лицо, Представитель заявителя;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Вариант 19: физическое лицо, Заявитель обратился лично;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Вариант 20: физическое лицо, Представитель заявителя.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Вариант 21: юридическое лицо - застройщик, Заявитель;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Вариант 22: юридическое лицо - застройщик, Представитель;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Вариант 23: физическое лицо - застройщик, Заявитель;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Вариант 24: физическое лицо - застройщик, Представитель.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оставления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Единого портала;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МФЦ;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>
        <w:rPr>
          <w:sz w:val="28"/>
          <w:szCs w:val="28"/>
        </w:rPr>
        <w:t xml:space="preserve">Органом местного самоуправления </w:t>
      </w:r>
      <w:r>
        <w:rPr>
          <w:sz w:val="28"/>
          <w:szCs w:val="28"/>
          <w:lang w:eastAsia="ru-RU"/>
        </w:rPr>
        <w:t>в общедоступном для ознакомления месте.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ГрК РФ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ГрК РФ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bookmarkStart w:id="0" w:name="__DdeLink__63408_77589467"/>
      <w:r>
        <w:rPr>
          <w:sz w:val="28"/>
          <w:szCs w:val="28"/>
          <w:lang w:eastAsia="ru-RU"/>
        </w:rPr>
        <w:t>У</w:t>
      </w:r>
      <w:bookmarkEnd w:id="0"/>
      <w:r>
        <w:rPr>
          <w:sz w:val="28"/>
          <w:szCs w:val="28"/>
          <w:lang w:eastAsia="ru-RU"/>
        </w:rPr>
        <w:t>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ГрК РФ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ГрК РФ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ГрК РФ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ГрК РФ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ГрК РФ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ГрК РФ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посредством заполнения интерактивной формы на Едином портале;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</w:t>
      </w:r>
      <w:r>
        <w:rPr>
          <w:sz w:val="28"/>
          <w:szCs w:val="28"/>
          <w:lang w:val="en-US"/>
        </w:rPr>
        <w:t>6.2 статьи 55 ГрК РФ.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разрешения на ввод объекта в эксплуатацию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«ДУБЛИКАТ»).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интерактивная форма; посредством Единого портала: интерактивная форма;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Выписка из Единого государственного реестра юридических лиц»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ФНС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разрешения на ввод объекта в эксплуатацию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«ДУБЛИКАТ»).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интерактивная форма; посредством Единого портала: интерактивная форма;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Выписка из Единого государственного реестра юридических лиц»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ФНС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разрешения на ввод объекта в эксплуатацию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«ДУБЛИКАТ»).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интерактивная форма; посредством Единого портала: интерактивная форма;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contextualSpacing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left="1077" w:hanging="0"/>
        <w:contextualSpacing/>
        <w:jc w:val="both"/>
        <w:rPr/>
      </w:pPr>
      <w:r>
        <w:rPr>
          <w:sz w:val="28"/>
          <w:szCs w:val="28"/>
          <w:lang w:eastAsia="ru-RU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разрешения на ввод объекта в эксплуатацию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«ДУБЛИКАТ»).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, форма которого утверждена постановлением администрации города Бердска от 23.12.2024 № 5455/65 «Об утверждении формы заявлений о предоставлении муниципальной услуги «Выдача разрешения на ввод объекта в эксплуатацию» 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интерактивная форма; посредством Единого портала: интерактивная форма;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48 часов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МФЦ, в Органе местного самоуправления, на Едином портале.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 (предъявление оригинала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заказным почтовым отправлением с уведомлением о вручении,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 (предъявление оригинала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заказным почтовым отправлением с уведомлением о вручении,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 (предъявление оригинала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заказным почтовым отправлением с уведомлением о вручении,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Результат предоставление муниципальной услуги подписывается уполномоченным лицом органа местного самоуправления. 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 (предъявление оригинала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заказным почтовым отправлением с уведомлением о вручении,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sz w:val="28"/>
          <w:szCs w:val="28"/>
        </w:rPr>
        <w:t>начальником 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на основании </w:t>
      </w:r>
      <w:r>
        <w:rPr>
          <w:sz w:val="28"/>
          <w:szCs w:val="28"/>
        </w:rPr>
        <w:t xml:space="preserve">конкретное обращение (жалоба) заявителя, жалоб заявителей на решения и действия (бездействие) должностных лиц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местах предоставления услуги, на официальном сайте Органа местного самоуправления в сети «Интернет», на Едином портале, в устной форме по телефону, в устной форме при личном приеме заявителя, в письменной форме почтовым отправлением по адресу, указанному заявителем (представителем)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через официальный сайт уполномоченного органа в информационно-телекоммуникационной сети «Интернет», посредством информационно-телекоммуникационных сетей общего пользования, в том числе сети «Интернет», официального сайта Губернатора Новосибирской области, через портал Федеральной государственной информационной системы «Досудебное обжалование» http://do.gosuslugi.ru.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почтовым отправлением, посредством личного приёма.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contextualSpacing/>
        <w:jc w:val="center"/>
        <w:rPr/>
      </w:pPr>
      <w:r>
        <w:rPr>
          <w:sz w:val="28"/>
          <w:szCs w:val="28"/>
        </w:rPr>
        <w:t>__________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>Приложение № 1</w:t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>от __________ № __________</w:t>
      </w:r>
    </w:p>
    <w:p>
      <w:pPr>
        <w:pStyle w:val="Normal"/>
        <w:jc w:val="both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before="0" w:after="24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1"/>
        <w:gridCol w:w="8933"/>
      </w:tblGrid>
      <w:tr>
        <w:trPr>
          <w:trHeight w:val="567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rFonts w:eastAsia="Calibri" w:cs="Arial"/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rFonts w:eastAsia="Calibri" w:cs="Arial"/>
                <w:b/>
                <w:bCs/>
                <w:szCs w:val="20"/>
                <w:lang w:eastAsia="ru-RU"/>
              </w:rPr>
              <w:t>варианта</w:t>
            </w:r>
          </w:p>
        </w:tc>
        <w:tc>
          <w:tcPr>
            <w:tcW w:w="893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rFonts w:eastAsia="Calibri" w:cs="Arial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rFonts w:eastAsia="Calibri" w:cs="Arial"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eastAsia="Calibri" w:cs="Arial"/>
                <w:i/>
                <w:iCs/>
                <w:szCs w:val="20"/>
                <w:lang w:eastAsia="ru-RU"/>
              </w:rPr>
              <w:t>«</w:t>
            </w:r>
            <w:r>
              <w:rPr>
                <w:rFonts w:eastAsia="Calibri" w:cs="Arial"/>
                <w:i/>
                <w:szCs w:val="20"/>
              </w:rPr>
              <w:t>Выдача разрешений на ввод в эксплуатацию»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Физическое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ГрК РФ, объектом культурного наследия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Физическое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Физическое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ГрК РФ, объектом культурного наследия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Физическое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Физическое лицо, заявитель обратился лично, предусмотрено осуществление государственного строительного надзора в соответствии с частью 1 статьи 54 ГрК РФ, объектом культурного наследия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Физическое лицо, заявитель обратился лично,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Физическое лицо, заявитель обратился лично, не предусмотрено осуществление государственного строительного надзора в соответствии с частью 1 статьи 54 ГрК РФ, объектом культурного наследия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Физическое лицо, заявитель обратился лично, не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Юридическое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ГрК РФ, объектом культурного наследия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Юридическое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Юридическое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ГрК РФ, объектом культурного наследия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Юридическое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Юридическое лицо, заявитель обратился лично, предусмотрено осуществление государственного строительного надзора в соответствии с частью 1 статьи 54 ГрК РФ, объектом культурного наследия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Юридическое лицо, заявитель обратился лично,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Юридическое лицо, заявитель обратился лично, не предусмотрено осуществление государственного строительного надзора в соответствии с частью 1 статьи 54 ГрК РФ, объектом культурного наследия является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Юридическое лицо, заявитель обратился лично, не предусмотрено осуществление государственного строительного надзора в соответствии с частью 1 статьи 54 ГрК РФ, объектом культурного наследия не является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eastAsia="Calibri" w:cs="Arial"/>
                <w:i/>
                <w:iCs/>
                <w:szCs w:val="20"/>
              </w:rPr>
              <w:t>«</w:t>
            </w:r>
            <w:r>
              <w:rPr>
                <w:rFonts w:eastAsia="Calibri" w:cs="Arial"/>
                <w:i/>
                <w:szCs w:val="20"/>
              </w:rPr>
              <w:t>Выдача дубликата разрешения на ввод объекта в эксплуатацию»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Юридическое лицо, Заявитель обратился лично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  <w:lang w:val="en-US"/>
              </w:rPr>
              <w:t>Юридическое лицо</w:t>
            </w:r>
            <w:r>
              <w:rPr>
                <w:rFonts w:eastAsia="Calibri" w:cs="Arial"/>
                <w:szCs w:val="20"/>
              </w:rPr>
              <w:t>, Представитель заявителя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</w:rPr>
              <w:t>Физическое лицо, Заявитель обратился лично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szCs w:val="20"/>
              </w:rPr>
            </w:pPr>
            <w:r>
              <w:rPr>
                <w:rFonts w:eastAsia="Calibri" w:cs="Arial"/>
                <w:szCs w:val="20"/>
                <w:lang w:val="en-US"/>
              </w:rPr>
              <w:t>Физическое лицо</w:t>
            </w:r>
            <w:r>
              <w:rPr>
                <w:rFonts w:eastAsia="Calibri" w:cs="Arial"/>
                <w:szCs w:val="20"/>
              </w:rPr>
              <w:t>, Представитель заявителя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eastAsia="Calibri" w:cs="Arial"/>
                <w:i/>
                <w:iCs/>
                <w:szCs w:val="20"/>
              </w:rPr>
              <w:t>«</w:t>
            </w:r>
            <w:r>
              <w:rPr>
                <w:rFonts w:eastAsia="Calibri" w:cs="Arial"/>
                <w:i/>
                <w:szCs w:val="20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rFonts w:ascii="Calibri" w:hAnsi="Calibri" w:eastAsia="Calibri"/>
                <w:szCs w:val="20"/>
              </w:rPr>
            </w:pPr>
            <w:r>
              <w:rPr>
                <w:rFonts w:eastAsia="Calibri" w:cs="Arial"/>
                <w:szCs w:val="20"/>
                <w:lang w:val="en-US"/>
              </w:rPr>
              <w:t>Юридическое лицо - застройщик</w:t>
            </w:r>
            <w:r>
              <w:rPr>
                <w:rFonts w:eastAsia="Calibri" w:cs="Arial"/>
                <w:szCs w:val="20"/>
              </w:rPr>
              <w:t>, Заявитель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rFonts w:ascii="Calibri" w:hAnsi="Calibri" w:eastAsia="Calibri"/>
                <w:szCs w:val="20"/>
              </w:rPr>
            </w:pPr>
            <w:r>
              <w:rPr>
                <w:rFonts w:eastAsia="Calibri" w:cs="Arial"/>
                <w:szCs w:val="20"/>
                <w:lang w:val="en-US"/>
              </w:rPr>
              <w:t>Юридическое лицо - застройщик</w:t>
            </w:r>
            <w:r>
              <w:rPr>
                <w:rFonts w:eastAsia="Calibri" w:cs="Arial"/>
                <w:szCs w:val="20"/>
              </w:rPr>
              <w:t>, Представитель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rFonts w:ascii="Calibri" w:hAnsi="Calibri" w:eastAsia="Calibri"/>
                <w:szCs w:val="20"/>
              </w:rPr>
            </w:pPr>
            <w:r>
              <w:rPr>
                <w:rFonts w:eastAsia="Calibri" w:cs="Arial"/>
                <w:szCs w:val="20"/>
                <w:lang w:val="en-US"/>
              </w:rPr>
              <w:t>Физическое лицо - застройщик</w:t>
            </w:r>
            <w:r>
              <w:rPr>
                <w:rFonts w:eastAsia="Calibri" w:cs="Arial"/>
                <w:szCs w:val="20"/>
              </w:rPr>
              <w:t>, Заявитель</w:t>
            </w:r>
          </w:p>
        </w:tc>
      </w:tr>
      <w:tr>
        <w:trPr>
          <w:trHeight w:val="426" w:hRule="atLeast"/>
        </w:trPr>
        <w:tc>
          <w:tcPr>
            <w:tcW w:w="1131" w:type="dxa"/>
            <w:tcBorders/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before="0" w:after="160"/>
              <w:contextualSpacing/>
              <w:jc w:val="both"/>
              <w:rPr>
                <w:rFonts w:eastAsia="Calibri" w:cs="Arial"/>
                <w:i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</w:r>
          </w:p>
        </w:tc>
        <w:tc>
          <w:tcPr>
            <w:tcW w:w="8933" w:type="dxa"/>
            <w:tcBorders/>
            <w:shd w:color="auto" w:fill="auto" w:val="clear"/>
          </w:tcPr>
          <w:p>
            <w:pPr>
              <w:pStyle w:val="Normal"/>
              <w:keepNext w:val="true"/>
              <w:spacing w:before="0" w:after="160"/>
              <w:rPr>
                <w:rFonts w:ascii="Calibri" w:hAnsi="Calibri" w:eastAsia="Calibri"/>
                <w:szCs w:val="20"/>
              </w:rPr>
            </w:pPr>
            <w:r>
              <w:rPr>
                <w:rFonts w:eastAsia="Calibri" w:cs="Arial"/>
                <w:szCs w:val="20"/>
                <w:lang w:val="en-US"/>
              </w:rPr>
              <w:t>Физическое лицо - застройщик</w:t>
            </w:r>
            <w:r>
              <w:rPr>
                <w:rFonts w:eastAsia="Calibri" w:cs="Arial"/>
                <w:szCs w:val="20"/>
              </w:rPr>
              <w:t>, Представитель</w:t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bookmarkStart w:id="1" w:name="_GoBack"/>
      <w:bookmarkStart w:id="2" w:name="_GoBack"/>
      <w:bookmarkEnd w:id="2"/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1"/>
        <w:gridCol w:w="2974"/>
        <w:gridCol w:w="5960"/>
      </w:tblGrid>
      <w:tr>
        <w:trPr>
          <w:trHeight w:val="815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разрешений на ввод в эксплуатацию»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 обратился через представителя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Заявитель обратился лично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</w:rPr>
              <w:t xml:space="preserve">Предусмотрено осуществление государственного строительного надзора в соответствии с частью </w:t>
            </w:r>
            <w:r>
              <w:rPr>
                <w:szCs w:val="20"/>
                <w:lang w:val="en-US"/>
              </w:rPr>
              <w:t>1 статьи 54 ГрК РФ?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 xml:space="preserve">1. Предусмотрено осуществление государственного строительного надзора в соответствии с частью </w:t>
            </w:r>
            <w:r>
              <w:rPr>
                <w:szCs w:val="20"/>
                <w:lang w:val="en-US"/>
              </w:rPr>
              <w:t>1 статьи 54 ГрК РФ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 xml:space="preserve">2. Не предусмотрено осуществление государственного строительного надзора в соответствии с частью </w:t>
            </w:r>
            <w:r>
              <w:rPr>
                <w:szCs w:val="20"/>
                <w:lang w:val="en-US"/>
              </w:rPr>
              <w:t>1 статьи 54 ГрК РФ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Является ли объектом культурного наследия?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1. Объектом культурного наследия является.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2. Объектом культурного наследия не является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дубликата разрешения на ввод объекта в эксплуатацию»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 обратился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Представитель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1. Юридическое лицо - застройщик.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2. Физическое лицо - застройщик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Представитель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>Приложение № 2</w:t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>от __________ № __________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</w:rPr>
      </w:pPr>
      <w:r>
        <w:rPr>
          <w:sz w:val="20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left="720" w:hanging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вариантам 21 – 24</w:t>
      </w:r>
    </w:p>
    <w:p>
      <w:pPr>
        <w:pStyle w:val="Normal"/>
        <w:rPr>
          <w:szCs w:val="20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«Выдача разрешения на ввод объекта в эксплуатацию»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описание опечаток и (или)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место совершения опечаток и (или) ошибок: </w:t>
        <w:tab/>
        <w:t>.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заявителя.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 и подпись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>дат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/>
      </w:pPr>
      <w:r>
        <w:rPr>
          <w:sz w:val="24"/>
          <w:szCs w:val="24"/>
        </w:rPr>
        <w:t xml:space="preserve">расшифровка подписи (инициалы, фамилия): </w:t>
        <w:tab/>
        <w:t>.</w:t>
      </w:r>
    </w:p>
    <w:sectPr>
      <w:headerReference w:type="default" r:id="rId2"/>
      <w:headerReference w:type="first" r:id="rId3"/>
      <w:footnotePr>
        <w:numFmt w:val="decimal"/>
      </w:footnotePr>
      <w:type w:val="nextPage"/>
      <w:pgSz w:w="11906" w:h="16838"/>
      <w:pgMar w:left="1134" w:right="567" w:header="709" w:top="766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1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Style31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/>
      </w:pPr>
      <w:r>
        <w:rPr>
          <w:rStyle w:val="Style19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26325621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8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1134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55f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kern w:val="0"/>
      <w:sz w:val="28"/>
      <w:szCs w:val="28"/>
      <w:lang w:val="ru-RU" w:eastAsia="en-US" w:bidi="ar-SA"/>
    </w:rPr>
  </w:style>
  <w:style w:type="paragraph" w:styleId="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kern w:val="0"/>
      <w:sz w:val="26"/>
      <w:szCs w:val="26"/>
      <w:lang w:val="ru-RU" w:eastAsia="en-US" w:bidi="ar-SA"/>
    </w:rPr>
  </w:style>
  <w:style w:type="paragraph" w:styleId="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kern w:val="0"/>
      <w:sz w:val="20"/>
      <w:szCs w:val="22"/>
      <w:lang w:val="ru-RU" w:eastAsia="en-US" w:bidi="ar-SA"/>
    </w:rPr>
  </w:style>
  <w:style w:type="paragraph" w:styleId="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kern w:val="0"/>
      <w:sz w:val="20"/>
      <w:szCs w:val="22"/>
      <w:lang w:val="ru-RU" w:eastAsia="en-US" w:bidi="ar-SA"/>
    </w:rPr>
  </w:style>
  <w:style w:type="paragraph" w:styleId="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kern w:val="0"/>
      <w:sz w:val="20"/>
      <w:szCs w:val="22"/>
      <w:lang w:val="ru-RU" w:eastAsia="en-US" w:bidi="ar-SA"/>
    </w:rPr>
  </w:style>
  <w:style w:type="paragraph" w:styleId="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kern w:val="0"/>
      <w:sz w:val="20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Style18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Style19" w:customStyle="1">
    <w:name w:val="Символ сноски"/>
    <w:qFormat/>
    <w:rPr/>
  </w:style>
  <w:style w:type="character" w:styleId="Style20" w:customStyle="1">
    <w:name w:val="Символ концевой сноски"/>
    <w:qFormat/>
    <w:rPr/>
  </w:style>
  <w:style w:type="character" w:styleId="Style21" w:customStyle="1">
    <w:name w:val="Символ нумерации"/>
    <w:qFormat/>
    <w:rPr>
      <w:rFonts w:ascii="Times New Roman" w:hAnsi="Times New Roman"/>
      <w:sz w:val="28"/>
      <w:szCs w:val="28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3">
    <w:name w:val="Body Text"/>
    <w:basedOn w:val="Normal"/>
    <w:uiPriority w:val="1"/>
    <w:qFormat/>
    <w:rsid w:val="00143b84"/>
    <w:pPr>
      <w:widowControl w:val="false"/>
    </w:pPr>
    <w:rPr>
      <w:sz w:val="24"/>
      <w:szCs w:val="24"/>
    </w:rPr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Annotationtext">
    <w:name w:val="annotation text"/>
    <w:basedOn w:val="Normal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 w:hanging="0"/>
      <w:contextualSpacing/>
    </w:pPr>
    <w:rPr/>
  </w:style>
  <w:style w:type="paragraph" w:styleId="Style27" w:customStyle="1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30">
    <w:name w:val="Endnote Text"/>
    <w:basedOn w:val="Normal"/>
    <w:uiPriority w:val="99"/>
    <w:semiHidden/>
    <w:unhideWhenUsed/>
    <w:rsid w:val="00db21fa"/>
    <w:pPr/>
    <w:rPr>
      <w:szCs w:val="20"/>
    </w:rPr>
  </w:style>
  <w:style w:type="paragraph" w:styleId="Style31">
    <w:name w:val="Footnote Text"/>
    <w:basedOn w:val="Normal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0">
    <w:name w:val="Table Grid"/>
    <w:basedOn w:val="a1"/>
    <w:uiPriority w:val="39"/>
    <w:rsid w:val="003c4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31"/>
    <w:basedOn w:val="a1"/>
    <w:uiPriority w:val="39"/>
    <w:rsid w:val="00f77c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BA15-E5D7-4CA8-9BFC-7E8B5E56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LibreOffice/6.3.0.3$Linux_X86_64 LibreOffice_project/30$Build-3</Application>
  <Pages>153</Pages>
  <Words>42508</Words>
  <Characters>357277</Characters>
  <CharactersWithSpaces>397772</CharactersWithSpaces>
  <Paragraphs>1770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2025-01-21T12:28:00Z</dcterms:created>
  <dc:creator>Кузнецов Виталий Геннадиевич</dc:creator>
  <dc:description/>
  <dc:language>ru-RU</dc:language>
  <cp:lastModifiedBy/>
  <dcterms:modified xsi:type="dcterms:W3CDTF">2025-05-12T09:23:19Z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rtlabs.ru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