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tbl>
      <w:tblPr>
        <w:tblW w:w="1013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525"/>
        <w:gridCol w:w="31"/>
      </w:tblGrid>
      <w:tr>
        <w:tblPrEx/>
        <w:trPr>
          <w:cantSplit/>
          <w:gridAfter w:val="1"/>
          <w:trHeight w:val="127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40"/>
              <w:jc w:val="center"/>
              <w:spacing w:before="120" w:after="120" w:line="360" w:lineRule="auto"/>
              <w:rPr>
                <w:b/>
                <w:spacing w:val="40"/>
                <w:sz w:val="36"/>
              </w:rPr>
            </w:pPr>
            <w:r>
              <w:rPr>
                <w:b/>
                <w:spacing w:val="40"/>
                <w:sz w:val="36"/>
              </w:rPr>
            </w:r>
            <w:r>
              <w:rPr>
                <w:b/>
                <w:spacing w:val="40"/>
                <w:sz w:val="36"/>
              </w:rPr>
            </w:r>
            <w:r>
              <w:rPr>
                <w:b/>
                <w:spacing w:val="40"/>
                <w:sz w:val="36"/>
              </w:rPr>
            </w:r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36"/>
              </w:rPr>
              <w:t xml:space="preserve">ПРИКАЗ</w:t>
            </w:r>
            <w:r/>
          </w:p>
        </w:tc>
      </w:tr>
      <w:tr>
        <w:tblPrEx/>
        <w:trPr>
          <w:cantSplit/>
          <w:gridAfter w:val="1"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834"/>
              <w:jc w:val="left"/>
              <w:spacing w:line="360" w:lineRule="auto"/>
            </w:pPr>
            <w:r>
              <w:t xml:space="preserve">________________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textDirection w:val="lrTb"/>
            <w:noWrap w:val="false"/>
          </w:tcPr>
          <w:p>
            <w:pPr>
              <w:pStyle w:val="834"/>
              <w:ind w:left="64"/>
              <w:jc w:val="right"/>
              <w:spacing w:line="360" w:lineRule="auto"/>
            </w:pPr>
            <w:r>
              <w:t xml:space="preserve">№_____________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pStyle w:val="834"/>
              <w:spacing w:line="360" w:lineRule="auto"/>
            </w:pPr>
            <w:r>
              <w:t xml:space="preserve">г. Новосибирск</w:t>
            </w:r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textDirection w:val="lrTb"/>
            <w:noWrap w:val="false"/>
          </w:tcPr>
          <w:p>
            <w:pPr>
              <w:pStyle w:val="834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приказ министерства образования, науки и инновационной политики </w:t>
            </w:r>
            <w:r>
              <w:rPr>
                <w:b/>
                <w:sz w:val="28"/>
                <w:szCs w:val="28"/>
              </w:rPr>
              <w:t xml:space="preserve">Новосибирской области от 23</w:t>
            </w:r>
            <w:r>
              <w:rPr>
                <w:b/>
                <w:sz w:val="28"/>
                <w:szCs w:val="28"/>
              </w:rPr>
              <w:t xml:space="preserve">.10</w:t>
            </w:r>
            <w:r>
              <w:rPr>
                <w:b/>
                <w:sz w:val="28"/>
                <w:szCs w:val="28"/>
              </w:rPr>
              <w:t xml:space="preserve">.2015</w:t>
            </w:r>
            <w:r>
              <w:rPr>
                <w:b/>
                <w:sz w:val="28"/>
                <w:szCs w:val="28"/>
              </w:rPr>
              <w:t xml:space="preserve"> № </w:t>
            </w:r>
            <w:r>
              <w:rPr>
                <w:b/>
                <w:sz w:val="28"/>
                <w:szCs w:val="28"/>
              </w:rPr>
              <w:t xml:space="preserve">3093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</w:t>
      </w:r>
      <w:r>
        <w:rPr>
          <w:b/>
          <w:spacing w:val="20"/>
          <w:sz w:val="28"/>
          <w:szCs w:val="28"/>
        </w:rPr>
        <w:t xml:space="preserve"> р и к а з ы в а ю:</w:t>
      </w:r>
      <w:r>
        <w:rPr>
          <w:b/>
          <w:spacing w:val="20"/>
          <w:sz w:val="28"/>
          <w:szCs w:val="28"/>
        </w:rPr>
      </w:r>
      <w:r>
        <w:rPr>
          <w:b/>
          <w:spacing w:val="20"/>
          <w:sz w:val="28"/>
          <w:szCs w:val="28"/>
        </w:rPr>
      </w:r>
    </w:p>
    <w:p>
      <w:pPr>
        <w:ind w:left="20" w:right="40" w:firstLine="68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Внести в приказ министерства образования, науки и инновационной политики Новосибирской области от 23.10.2015 № 3093 «Об областной предметной олимпиаде «Учитель – Профессионал» следующие изменения:</w:t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ind w:left="0" w:right="0" w:firstLine="774"/>
        <w:jc w:val="both"/>
        <w:rPr>
          <w:sz w:val="28"/>
        </w:rPr>
      </w:pPr>
      <w:r>
        <w:rPr>
          <w:sz w:val="28"/>
        </w:rPr>
        <w:t xml:space="preserve">1. </w:t>
      </w:r>
      <w:r>
        <w:rPr>
          <w:sz w:val="28"/>
        </w:rPr>
        <w:t xml:space="preserve">Преамбулу приказа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комплексом процессных мероприятий </w:t>
      </w:r>
      <w:r>
        <w:rPr>
          <w:sz w:val="28"/>
          <w:szCs w:val="28"/>
          <w:highlight w:val="none"/>
        </w:rPr>
        <w:t xml:space="preserve">«Кадровое обеспечение системы образования Новосибирской области»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 «Развитие образования, создание условий для социализации детей и учащейся молодежи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Новосибирской области», утвержденной постановлением Правительства Новосибирской области от</w:t>
      </w:r>
      <w:r>
        <w:rPr>
          <w:sz w:val="28"/>
          <w:szCs w:val="28"/>
          <w:highlight w:val="none"/>
        </w:rPr>
        <w:t xml:space="preserve"> 31.12.2014 № </w:t>
      </w:r>
      <w:r>
        <w:rPr>
          <w:sz w:val="28"/>
          <w:szCs w:val="28"/>
          <w:highlight w:val="none"/>
        </w:rPr>
        <w:t xml:space="preserve">576-п</w:t>
      </w:r>
      <w:r>
        <w:rPr>
          <w:sz w:val="28"/>
          <w:szCs w:val="28"/>
          <w:highlight w:val="none"/>
        </w:rPr>
        <w:t xml:space="preserve"> «Об утверждении государственной программы </w:t>
      </w:r>
      <w:r>
        <w:rPr>
          <w:sz w:val="28"/>
          <w:szCs w:val="28"/>
          <w:highlight w:val="none"/>
        </w:rPr>
        <w:t xml:space="preserve">Новосибирской области «Развитие образования, создание условий для социализации детей и учащейся молодежи в Новосибирской области</w:t>
      </w:r>
      <w:r>
        <w:rPr>
          <w:sz w:val="28"/>
          <w:highlight w:val="none"/>
        </w:rPr>
        <w:t xml:space="preserve">»</w:t>
      </w:r>
      <w:r>
        <w:rPr>
          <w:sz w:val="28"/>
          <w:highlight w:val="none"/>
        </w:rPr>
        <w:t xml:space="preserve">, в целях обеспечения повышения качества общего образования в образовательных организациях Новосибирской области приказываю: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Пункт 1</w:t>
      </w:r>
      <w:r>
        <w:rPr>
          <w:sz w:val="28"/>
          <w:szCs w:val="28"/>
        </w:rPr>
        <w:t xml:space="preserve"> Положения об областной предметной олимпиаде «Учитель – Профессионал»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 Настоящее Положение разработано в соответствии с </w:t>
      </w:r>
      <w:r>
        <w:rPr>
          <w:sz w:val="28"/>
          <w:szCs w:val="28"/>
          <w:highlight w:val="none"/>
        </w:rPr>
        <w:t xml:space="preserve">комплексом процессных мероприятий </w:t>
      </w:r>
      <w:r>
        <w:rPr>
          <w:sz w:val="28"/>
          <w:szCs w:val="28"/>
          <w:highlight w:val="none"/>
        </w:rPr>
        <w:t xml:space="preserve">«Кадровое обеспечение системы образования Новосибирской области»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 «Развитие образования, создание условий для социализации детей и учащейся молодежи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Новосибирской области», утвержденной постановлением Правительства Новосибирской области от</w:t>
      </w:r>
      <w:r>
        <w:rPr>
          <w:sz w:val="28"/>
          <w:szCs w:val="28"/>
          <w:highlight w:val="none"/>
        </w:rPr>
        <w:t xml:space="preserve"> 31.12.2014 № </w:t>
      </w:r>
      <w:r>
        <w:rPr>
          <w:sz w:val="28"/>
          <w:szCs w:val="28"/>
          <w:highlight w:val="none"/>
        </w:rPr>
        <w:t xml:space="preserve">576-п</w:t>
      </w:r>
      <w:r>
        <w:rPr>
          <w:sz w:val="28"/>
          <w:szCs w:val="28"/>
          <w:highlight w:val="none"/>
        </w:rPr>
        <w:t xml:space="preserve"> «Об утверждении государственной программы </w:t>
      </w:r>
      <w:r>
        <w:rPr>
          <w:sz w:val="28"/>
          <w:szCs w:val="28"/>
          <w:highlight w:val="none"/>
        </w:rPr>
        <w:t xml:space="preserve">Новосибирской области «Развитие образования, создание условий для социализации детей и учащейся молодежи в Новосибирской области</w:t>
      </w:r>
      <w:r>
        <w:rPr>
          <w:sz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 Состав </w:t>
      </w:r>
      <w:r>
        <w:rPr>
          <w:rFonts w:eastAsia="Arial Unicode MS" w:cs="Arial Unicode MS"/>
          <w:b w:val="0"/>
          <w:bCs w:val="0"/>
          <w:sz w:val="28"/>
          <w:szCs w:val="28"/>
        </w:rPr>
        <w:t xml:space="preserve">организационного комитета </w:t>
      </w:r>
      <w:r>
        <w:rPr>
          <w:rFonts w:eastAsia="Arial Unicode MS" w:cs="Arial Unicode MS"/>
          <w:b w:val="0"/>
          <w:bCs w:val="0"/>
          <w:sz w:val="28"/>
          <w:szCs w:val="28"/>
        </w:rPr>
        <w:t xml:space="preserve">областной предметной олимпиады «Учитель – Профессионал»</w:t>
      </w:r>
      <w:r>
        <w:rPr>
          <w:b w:val="0"/>
          <w:bCs w:val="0"/>
          <w:sz w:val="28"/>
        </w:rPr>
        <w:t xml:space="preserve"> и</w:t>
      </w:r>
      <w:r>
        <w:rPr>
          <w:sz w:val="28"/>
        </w:rPr>
        <w:t xml:space="preserve">зложить в 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Министр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М.Н. </w:t>
      </w:r>
      <w:r>
        <w:rPr>
          <w:sz w:val="28"/>
        </w:rPr>
        <w:t xml:space="preserve">Жафярова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>
        <w:t xml:space="preserve">Бардаева</w:t>
      </w:r>
      <w:r>
        <w:t xml:space="preserve"> Е.А.</w:t>
      </w:r>
      <w:r/>
    </w:p>
    <w:p>
      <w:pPr>
        <w:jc w:val="both"/>
        <w:rPr>
          <w:sz w:val="28"/>
          <w:szCs w:val="28"/>
          <w:highlight w:val="none"/>
        </w:rPr>
      </w:pPr>
      <w:r>
        <w:t xml:space="preserve">238-74-22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right="-17"/>
        <w:spacing w:line="26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right="-17"/>
        <w:spacing w:line="26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right="-17"/>
        <w:spacing w:line="266" w:lineRule="auto"/>
        <w:rPr>
          <w:bCs/>
          <w:sz w:val="28"/>
        </w:rPr>
      </w:pPr>
      <w:r>
        <w:rPr>
          <w:sz w:val="28"/>
        </w:rPr>
        <w:t xml:space="preserve">Заместитель министра         </w:t>
      </w:r>
      <w:r>
        <w:rPr>
          <w:bCs/>
          <w:sz w:val="28"/>
        </w:rPr>
        <w:t xml:space="preserve">                                                                В.Н. Щукин</w:t>
      </w:r>
      <w:r>
        <w:rPr>
          <w:bCs/>
          <w:sz w:val="28"/>
        </w:rPr>
      </w:r>
      <w:r>
        <w:rPr>
          <w:bCs/>
          <w:sz w:val="28"/>
        </w:rPr>
      </w:r>
    </w:p>
    <w:p>
      <w:pPr>
        <w:contextualSpacing/>
        <w:ind w:right="-17"/>
        <w:spacing w:line="266" w:lineRule="auto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contextualSpacing/>
        <w:ind w:right="-17"/>
        <w:spacing w:line="266" w:lineRule="auto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contextualSpacing/>
        <w:ind w:right="-17"/>
        <w:spacing w:line="266" w:lineRule="auto"/>
        <w:rPr>
          <w:bCs/>
          <w:sz w:val="28"/>
        </w:rPr>
      </w:pPr>
      <w:r>
        <w:rPr>
          <w:bCs/>
          <w:sz w:val="28"/>
        </w:rPr>
        <w:t xml:space="preserve">Заместитель начальника организационно-</w:t>
      </w:r>
      <w:r>
        <w:rPr>
          <w:bCs/>
          <w:sz w:val="28"/>
        </w:rPr>
      </w:r>
      <w:r>
        <w:rPr>
          <w:bCs/>
          <w:sz w:val="28"/>
        </w:rPr>
      </w:r>
    </w:p>
    <w:p>
      <w:pPr>
        <w:contextualSpacing/>
        <w:ind w:right="-17"/>
        <w:spacing w:line="266" w:lineRule="auto"/>
        <w:rPr>
          <w:sz w:val="28"/>
          <w:szCs w:val="28"/>
        </w:rPr>
      </w:pPr>
      <w:r>
        <w:rPr>
          <w:bCs/>
          <w:sz w:val="28"/>
        </w:rPr>
        <w:t xml:space="preserve">правового управления –начальник отдела                                        А.Н. Гольдман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spacing w:line="30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35" w:hanging="2835"/>
        <w:jc w:val="both"/>
        <w:spacing w:line="250" w:lineRule="auto"/>
        <w:rPr>
          <w:sz w:val="28"/>
          <w:szCs w:val="28"/>
        </w:rPr>
      </w:pPr>
      <w:r>
        <w:rPr>
          <w:sz w:val="28"/>
        </w:rPr>
        <w:t xml:space="preserve">Рассылка:</w:t>
      </w:r>
      <w:r>
        <w:rPr>
          <w:sz w:val="28"/>
        </w:rPr>
        <w:tab/>
      </w:r>
      <w:r>
        <w:rPr>
          <w:sz w:val="28"/>
        </w:rPr>
        <w:t xml:space="preserve">ГАУ ДПО Новосибирской области НИПК и ПРО; органы управления образованием муниципальных образований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spacing w:line="300" w:lineRule="auto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  » по «  »  2024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 Прокуратура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10" w:tooltip="http://www.nsopravo.ru" w:history="1">
        <w:r>
          <w:rPr>
            <w:rStyle w:val="840"/>
            <w:sz w:val="28"/>
          </w:rPr>
          <w:t xml:space="preserve">www.nsopravo.ru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  <w:szCs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840"/>
            <w:sz w:val="28"/>
          </w:rPr>
          <w:t xml:space="preserve">www.pravo.gov.ru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r>
        <w:br w:type="page" w:clear="all"/>
      </w:r>
      <w:r>
        <w:t xml:space="preserve"> </w:t>
      </w:r>
      <w:r/>
    </w:p>
    <w:tbl>
      <w:tblPr>
        <w:tblStyle w:val="838"/>
        <w:tblW w:w="0" w:type="auto"/>
        <w:tblInd w:w="6060" w:type="dxa"/>
        <w:tblLayout w:type="fixed"/>
        <w:tblLook w:val="04A0" w:firstRow="1" w:lastRow="0" w:firstColumn="1" w:lastColumn="0" w:noHBand="0" w:noVBand="1"/>
      </w:tblPr>
      <w:tblGrid>
        <w:gridCol w:w="3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приказу Минобразования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 ____________ № ______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«УТВЕРЖДЕН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приказом Минобрнауки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 23.10.2015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 3093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34"/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</w:r>
      <w:r>
        <w:rPr>
          <w:rFonts w:eastAsia="Arial Unicode MS" w:cs="Arial Unicode MS"/>
          <w:sz w:val="28"/>
          <w:szCs w:val="28"/>
        </w:rPr>
      </w:r>
      <w:r>
        <w:rPr>
          <w:rFonts w:eastAsia="Arial Unicode MS" w:cs="Arial Unicode MS"/>
          <w:sz w:val="28"/>
          <w:szCs w:val="28"/>
        </w:rPr>
      </w:r>
    </w:p>
    <w:p>
      <w:pPr>
        <w:contextualSpacing/>
        <w:jc w:val="center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СОСТАВ</w:t>
      </w:r>
      <w:r>
        <w:rPr>
          <w:rFonts w:eastAsia="Arial Unicode MS" w:cs="Arial Unicode MS"/>
          <w:b/>
          <w:sz w:val="28"/>
          <w:szCs w:val="28"/>
        </w:rPr>
      </w:r>
      <w:r>
        <w:rPr>
          <w:rFonts w:eastAsia="Arial Unicode MS" w:cs="Arial Unicode MS"/>
          <w:b/>
          <w:sz w:val="28"/>
          <w:szCs w:val="28"/>
        </w:rPr>
      </w:r>
    </w:p>
    <w:p>
      <w:pPr>
        <w:contextualSpacing/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организационного комитета </w:t>
      </w:r>
      <w:r>
        <w:rPr>
          <w:rFonts w:eastAsia="Arial Unicode MS" w:cs="Arial Unicode MS"/>
          <w:b/>
          <w:sz w:val="28"/>
          <w:szCs w:val="28"/>
        </w:rPr>
        <w:t xml:space="preserve">областной предметной олимпиады </w:t>
      </w: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</w:p>
    <w:p>
      <w:pPr>
        <w:contextualSpacing/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«Учитель – Профессионал»</w:t>
      </w: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</w:p>
    <w:p>
      <w:pPr>
        <w:contextualSpacing/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(далее – оргкомитет)</w:t>
      </w: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</w:p>
    <w:p>
      <w:pPr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40"/>
        <w:gridCol w:w="397"/>
        <w:gridCol w:w="5896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Щукин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Владимир Николаевич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заместитель министра образования Новосибирской области, председател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 оргкомитета;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Умбрашко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Константин Борисович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ректор государственного автономного учреждения дополнительного профессионального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Новосибирский институт повышения квалификации и переподготовки работников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, заместитель председателя оргкомитета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Лукашенко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помощник проректора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государственного автономного учреждения дополнительного профессионального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Новосибирский институт повышения квалификации и переподготовки работников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», секретарь оргкомитета (по согласованию).</w:t>
            </w:r>
            <w:r/>
          </w:p>
        </w:tc>
      </w:tr>
      <w:tr>
        <w:tblPrEx/>
        <w:trPr>
          <w:jc w:val="left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Члены оргкомитета: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Бардаева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  <w:highlight w:val="none"/>
              </w:rPr>
              <w:t xml:space="preserve">начальник отдела профессионального развития педагогических кадров управления образовательной политики </w:t>
            </w:r>
            <w:r>
              <w:rPr>
                <w:sz w:val="28"/>
                <w:szCs w:val="28"/>
                <w:highlight w:val="none"/>
                <w:lang w:val="ru-RU"/>
              </w:rPr>
              <w:t xml:space="preserve">в сфере общего образования министерства образования Новосибирской области;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Молокова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Анна Викторовна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проректор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научно-методической работе и цифровизации государственного автономного учреждения дополнительного профессионального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Новосибирский институт повышения квалификации и переподготовки работников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Пальянова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Ольга Михайловна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начальник упра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вления организационно-методической работы государственного автономного учреждения дополнительного профессионального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Новосибирский институт повышения квалификации и переподготовки работников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0" w:type="dxa"/>
            <w:vMerge w:val="restart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Яковлева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highlight w:val="none"/>
                <w:lang w:val="ru-RU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4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vMerge w:val="restart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начальник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образовательной политики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в сфере общего образования министерства образования Новосибирской области.».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</w:rPr>
            </w:r>
          </w:p>
        </w:tc>
      </w:tr>
    </w:tbl>
    <w:p>
      <w:pPr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  <w:r>
        <w:rPr>
          <w:rFonts w:eastAsia="Arial Unicode MS" w:cs="Arial Unicode MS"/>
          <w:b/>
          <w:bC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285" w:right="567" w:bottom="397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5"/>
    <w:link w:val="834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5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5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5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4">
    <w:name w:val="Heading 3"/>
    <w:basedOn w:val="833"/>
    <w:next w:val="833"/>
    <w:link w:val="841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>
    <w:name w:val="Table Grid"/>
    <w:basedOn w:val="8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List Paragraph"/>
    <w:basedOn w:val="833"/>
    <w:uiPriority w:val="34"/>
    <w:qFormat/>
    <w:pPr>
      <w:contextualSpacing/>
      <w:ind w:left="720"/>
    </w:pPr>
  </w:style>
  <w:style w:type="character" w:styleId="840" w:customStyle="1">
    <w:name w:val="Гиперссылка1"/>
    <w:unhideWhenUsed/>
    <w:rPr>
      <w:color w:val="0000ff"/>
      <w:u w:val="single"/>
    </w:rPr>
  </w:style>
  <w:style w:type="character" w:styleId="841" w:customStyle="1">
    <w:name w:val="Заголовок 3 Знак"/>
    <w:basedOn w:val="835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2">
    <w:name w:val="Balloon Text"/>
    <w:basedOn w:val="833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16</cp:revision>
  <dcterms:created xsi:type="dcterms:W3CDTF">2025-02-26T02:29:00Z</dcterms:created>
  <dcterms:modified xsi:type="dcterms:W3CDTF">2025-07-08T03:38:27Z</dcterms:modified>
</cp:coreProperties>
</file>