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8"/>
        </w:rPr>
        <w:outlineLvl w:val="0"/>
      </w:pPr>
      <w:r>
        <w:rPr>
          <w:sz w:val="28"/>
        </w:rPr>
        <w:t xml:space="preserve">Проект постановления Губернатора</w:t>
      </w:r>
      <w:r>
        <w:rPr>
          <w:sz w:val="28"/>
        </w:rPr>
      </w:r>
      <w:r>
        <w:rPr>
          <w:sz w:val="28"/>
        </w:rPr>
      </w:r>
    </w:p>
    <w:p>
      <w:pPr>
        <w:jc w:val="right"/>
        <w:widowControl w:val="off"/>
        <w:rPr>
          <w:sz w:val="28"/>
        </w:rPr>
        <w:outlineLvl w:val="0"/>
      </w:pPr>
      <w:r>
        <w:rPr>
          <w:sz w:val="28"/>
        </w:rPr>
        <w:t xml:space="preserve">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Губернатора Новосибирской области</w:t>
      </w: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 23.06.2011 № 156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 20.07.2021 № 1228 «</w:t>
      </w:r>
      <w:r>
        <w:rPr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</w:t>
      </w:r>
      <w:r>
        <w:rPr>
          <w:sz w:val="28"/>
          <w:szCs w:val="28"/>
        </w:rPr>
        <w:t xml:space="preserve">тов Правительства Российской Федерации»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pacing w:val="20"/>
          <w:sz w:val="28"/>
          <w:szCs w:val="28"/>
        </w:rPr>
        <w:t xml:space="preserve"> о с </w:t>
      </w:r>
      <w:r>
        <w:rPr>
          <w:b/>
          <w:bCs/>
          <w:spacing w:val="20"/>
          <w:sz w:val="28"/>
          <w:szCs w:val="28"/>
        </w:rPr>
        <w:t xml:space="preserve">т</w:t>
      </w:r>
      <w:r>
        <w:rPr>
          <w:b/>
          <w:bCs/>
          <w:spacing w:val="20"/>
          <w:sz w:val="28"/>
          <w:szCs w:val="28"/>
        </w:rPr>
        <w:t xml:space="preserve"> а н о в л я ю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</w:t>
      </w:r>
      <w:r>
        <w:rPr>
          <w:sz w:val="28"/>
          <w:szCs w:val="28"/>
        </w:rPr>
        <w:t xml:space="preserve">новление </w:t>
      </w:r>
      <w:r>
        <w:rPr>
          <w:color w:val="000000"/>
          <w:sz w:val="28"/>
          <w:szCs w:val="28"/>
        </w:rPr>
        <w:t xml:space="preserve">Губернатора Новосибирской области от 23.06.2011 № 156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разрешений на выполнение работ по г</w:t>
      </w:r>
      <w:r>
        <w:rPr>
          <w:color w:val="000000"/>
          <w:sz w:val="28"/>
          <w:szCs w:val="28"/>
        </w:rPr>
        <w:t xml:space="preserve">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насаждений»</w:t>
      </w:r>
      <w:r>
        <w:rPr>
          <w:sz w:val="28"/>
          <w:szCs w:val="28"/>
        </w:rPr>
        <w:t xml:space="preserve"> 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Адм</w:t>
      </w:r>
      <w:r>
        <w:rPr>
          <w:color w:val="000000"/>
          <w:sz w:val="28"/>
          <w:szCs w:val="28"/>
          <w:highlight w:val="none"/>
        </w:rPr>
        <w:t xml:space="preserve">инистративном регламенте министерства природных ресурсов и экологии Новосибирской области предоставления государственной услуги по выдаче разрешений на выполнение работ по геологическому изучению недр на землях лесного фонда без предоставления лесного учас</w:t>
      </w:r>
      <w:r>
        <w:rPr>
          <w:color w:val="000000"/>
          <w:sz w:val="28"/>
          <w:szCs w:val="28"/>
          <w:highlight w:val="none"/>
        </w:rPr>
        <w:t xml:space="preserve">тка, если выполнение таких работ не влечет за собой проведение рубок лесных насаждений: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 В разделе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II «Стандарт предоставления государственной услуги»: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1) в абзаце втором пункта 5 слова «пунктами 11, 12» заменить словами «пунктами 37.1, 37, 2, 59.4»;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пункт 11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«11.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рые заявитель вправе представить по собственной инициативе, приведен в описании вариантов в разделе III Административного регламента.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 пункты 12-14 признать утратившими силу;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пункт 17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«17.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Исчерпывающий перечень оснований для отказа в предоставлении государственной услуги приведен в описании вариантов в разделе III Административного регламента.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 В разделе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III «Состав, последовательность и сроки выполнения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административных процедур, требования к порядку их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выполнения, в том числе особенности выполнения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административных процедур в электронной форме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после пункта 37 дополнить пунктами 37.1, 37.2, 37.3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«37.1.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заявлении указываются: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1) сведения о заявителе: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полное и сокращенное наименование и организационно-правовая форма, место нахождения и почтовый адрес, банковские реквизиты - для юридического лица;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фамилия, имя, отчество (последнее - при наличии), адрес места жительства, данные документа, удостоверяющего личность, - для гражданина, являющегося индивидуальным предпринимателем;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 местоположение и площадь земель лесного фонда, необходимых для выполнения планируемых работ, обоснование использования лесов и срок выполнения работ по геологическому изучению недр.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37.2. Заявитель прилагает к заявлению документ, подтверждающий полномочия лица на осуществление действий от его имени, при необходимости.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щие получение согласия, могут быть представлены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ченным федеральным органом исполнительной власти.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37.3. Документы, необходимые в соответствии с нормативными правовыми актами для предоставления государственной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представляемые в рамках межведомственного информационного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взаимодействия при предоставлении государственных услуг, осуществляемого в порядке и сроки, установленные федеральными законами, законами Новосибирской области и иными нормативными правовыми актами: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выписка из Единого государственного реестра юридических лиц в отношении юридического лица;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выписка из Единого государственного реестра индивидуальных предпринимателей в отношении физического лица;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сведения о постановке на налоговый учет в налоговом органе;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сведения о наличии лицензии на пользование недрами или государственного контракта на выполнение работ по геологическому изучению недр для государственных нужд.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Заявитель вправе представить перечисленные документы по собственной инициативе непосредственно в структурное подразделение министерства, ответственное за прием документов, по почте, по электронной почте.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Перечисленные документы могут быть получены заявителем как на бумажном носителе, так и в форме электронного документа.»;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 в пункте 43: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слова «пункте 14» заменить словами «пункте 37.3»;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после слов «и направляет их»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дополнить словами «посредством федеральной государственной информационной системы «Единая система межведомственного электронного взаимодействия»;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 в пункте 50 слова «пунктах 11, 12» заменить словами «пунктах 37.1, 37.2»;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 после пункта 50 дополнить пунктом 50.1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2"/>
        <w:contextualSpacing w:val="0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«50.1.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Основаниями для отказа в предоставлении государственной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явля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несоответствие представленных документов требованиям, установленным пунктами 37.1, 37.2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Административного регламента;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указание в заявлении целей использования лесов или лесного участка, не предусмотренных частью 3 статьи 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Лесного кодекса Российской Федерации.»;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5) в пунктах 51, 52, 53, 53 слова «пунктом 17» заменить словами «пунктом 50.1»;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2"/>
        <w:ind w:left="0" w:right="0" w:firstLine="709"/>
        <w:jc w:val="both"/>
        <w:spacing w:before="0" w:before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пункт 59.4 дополнить абзацем следующего содержания: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Заявление оформляется в произвольной форме с учетом требований, установленных пунктами 37.1, 37.2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Административного регламента.»;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2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п</w:t>
      </w:r>
      <w:r>
        <w:rPr>
          <w:sz w:val="28"/>
          <w:szCs w:val="28"/>
          <w:highlight w:val="none"/>
          <w:lang w:val="ru-RU"/>
        </w:rPr>
        <w:t xml:space="preserve">ункт </w:t>
      </w:r>
      <w:r>
        <w:rPr>
          <w:sz w:val="28"/>
          <w:szCs w:val="28"/>
          <w:highlight w:val="none"/>
          <w:lang w:val="ru-RU"/>
        </w:rPr>
        <w:t xml:space="preserve">59.10 дополнить абзацем следующего содержания: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«Отказ в предоставлении государственной услуги,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осуществляется в случае, если факт опечатки и (или) ошибки, допущенных в документах, выданных в результате предоставления государственной услуги, не подтвержден.».</w:t>
      </w:r>
      <w:r>
        <w:rPr>
          <w:sz w:val="28"/>
          <w:szCs w:val="28"/>
          <w:highlight w:val="none"/>
        </w:rPr>
      </w:r>
    </w:p>
    <w:p>
      <w:pPr>
        <w:pStyle w:val="785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785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85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rPr>
          <w:sz w:val="20"/>
          <w:szCs w:val="20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418" w:header="567" w:footer="0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  <w:t xml:space="preserve">296 51 70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В.М. </w:t>
      </w:r>
      <w:r>
        <w:rPr>
          <w:rFonts w:ascii="Times New Roman" w:hAnsi="Times New Roman" w:cs="Times New Roman"/>
          <w:sz w:val="28"/>
          <w:szCs w:val="28"/>
        </w:rPr>
        <w:t xml:space="preserve">Знатков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</w:t>
      </w:r>
      <w:r>
        <w:rPr>
          <w:rFonts w:ascii="Times New Roman" w:hAnsi="Times New Roman" w:cs="Times New Roman"/>
          <w:sz w:val="28"/>
          <w:szCs w:val="28"/>
        </w:rPr>
        <w:t xml:space="preserve">Шинделов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Т.Н. </w:t>
      </w:r>
      <w:r>
        <w:rPr>
          <w:rFonts w:ascii="Times New Roman" w:hAnsi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Л.Н. Решетников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Е.А.</w:t>
      </w:r>
      <w:r>
        <w:rPr>
          <w:rFonts w:ascii="Times New Roman" w:hAnsi="Times New Roman" w:cs="Times New Roman"/>
          <w:sz w:val="28"/>
          <w:szCs w:val="28"/>
        </w:rPr>
        <w:t xml:space="preserve"> Шестернин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Начальник управления правового,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кадрового 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</w:t>
      </w:r>
      <w:r/>
      <w:r/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ab/>
        <w:tab/>
        <w:tab/>
        <w:tab/>
        <w:tab/>
        <w:tab/>
        <w:tab/>
        <w:t xml:space="preserve"> А.П. Гаенко</w:t>
      </w:r>
      <w:r/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О.В. Бондаренко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95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296 51 58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418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">
    <w:panose1 w:val="02070309020205020404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14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rPr>
      <w:sz w:val="24"/>
      <w:szCs w:val="24"/>
      <w:lang w:eastAsia="ru-RU"/>
    </w:rPr>
  </w:style>
  <w:style w:type="paragraph" w:styleId="679">
    <w:name w:val="Heading 1"/>
    <w:basedOn w:val="678"/>
    <w:next w:val="678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0">
    <w:name w:val="Heading 2"/>
    <w:basedOn w:val="678"/>
    <w:next w:val="678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81">
    <w:name w:val="Heading 3"/>
    <w:basedOn w:val="678"/>
    <w:next w:val="678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682">
    <w:name w:val="Heading 4"/>
    <w:basedOn w:val="678"/>
    <w:next w:val="67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683">
    <w:name w:val="Heading 5"/>
    <w:basedOn w:val="678"/>
    <w:next w:val="678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684">
    <w:name w:val="Heading 6"/>
    <w:basedOn w:val="678"/>
    <w:next w:val="67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685">
    <w:name w:val="Heading 7"/>
    <w:basedOn w:val="678"/>
    <w:next w:val="67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686">
    <w:name w:val="Heading 8"/>
    <w:basedOn w:val="678"/>
    <w:next w:val="67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687">
    <w:name w:val="Heading 9"/>
    <w:basedOn w:val="678"/>
    <w:next w:val="678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Title Char"/>
    <w:basedOn w:val="688"/>
    <w:uiPriority w:val="10"/>
    <w:rPr>
      <w:sz w:val="48"/>
      <w:szCs w:val="48"/>
    </w:rPr>
  </w:style>
  <w:style w:type="character" w:styleId="692" w:customStyle="1">
    <w:name w:val="Subtitle Char"/>
    <w:basedOn w:val="688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Заголовок Знак1"/>
    <w:basedOn w:val="688"/>
    <w:link w:val="763"/>
    <w:uiPriority w:val="10"/>
    <w:rPr>
      <w:sz w:val="48"/>
      <w:szCs w:val="48"/>
    </w:rPr>
  </w:style>
  <w:style w:type="character" w:styleId="698" w:customStyle="1">
    <w:name w:val="Подзаголовок Знак1"/>
    <w:basedOn w:val="688"/>
    <w:link w:val="764"/>
    <w:uiPriority w:val="11"/>
    <w:rPr>
      <w:sz w:val="24"/>
      <w:szCs w:val="24"/>
    </w:rPr>
  </w:style>
  <w:style w:type="character" w:styleId="699" w:customStyle="1">
    <w:name w:val="Цитата 2 Знак1"/>
    <w:link w:val="765"/>
    <w:uiPriority w:val="29"/>
    <w:rPr>
      <w:i/>
    </w:rPr>
  </w:style>
  <w:style w:type="character" w:styleId="700" w:customStyle="1">
    <w:name w:val="Выделенная цитата Знак1"/>
    <w:link w:val="766"/>
    <w:uiPriority w:val="30"/>
    <w:rPr>
      <w:i/>
    </w:rPr>
  </w:style>
  <w:style w:type="character" w:styleId="701" w:customStyle="1">
    <w:name w:val="Текст сноски Знак1"/>
    <w:link w:val="770"/>
    <w:uiPriority w:val="99"/>
    <w:rPr>
      <w:sz w:val="18"/>
    </w:rPr>
  </w:style>
  <w:style w:type="character" w:styleId="702">
    <w:name w:val="footnote reference"/>
    <w:basedOn w:val="688"/>
    <w:uiPriority w:val="99"/>
    <w:unhideWhenUsed/>
    <w:rPr>
      <w:vertAlign w:val="superscript"/>
    </w:rPr>
  </w:style>
  <w:style w:type="character" w:styleId="703" w:customStyle="1">
    <w:name w:val="Текст концевой сноски Знак1"/>
    <w:link w:val="771"/>
    <w:uiPriority w:val="99"/>
    <w:rPr>
      <w:sz w:val="20"/>
    </w:rPr>
  </w:style>
  <w:style w:type="character" w:styleId="704">
    <w:name w:val="endnote reference"/>
    <w:basedOn w:val="688"/>
    <w:uiPriority w:val="99"/>
    <w:semiHidden/>
    <w:unhideWhenUsed/>
    <w:rPr>
      <w:vertAlign w:val="superscript"/>
    </w:rPr>
  </w:style>
  <w:style w:type="character" w:styleId="705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07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Заголовок Знак"/>
    <w:uiPriority w:val="10"/>
    <w:qFormat/>
    <w:rPr>
      <w:sz w:val="48"/>
      <w:szCs w:val="48"/>
    </w:rPr>
  </w:style>
  <w:style w:type="character" w:styleId="715" w:customStyle="1">
    <w:name w:val="Подзаголовок Знак"/>
    <w:uiPriority w:val="11"/>
    <w:qFormat/>
    <w:rPr>
      <w:sz w:val="24"/>
      <w:szCs w:val="24"/>
    </w:rPr>
  </w:style>
  <w:style w:type="character" w:styleId="716" w:customStyle="1">
    <w:name w:val="Цитата 2 Знак"/>
    <w:link w:val="729"/>
    <w:uiPriority w:val="29"/>
    <w:qFormat/>
    <w:rPr>
      <w:i/>
    </w:rPr>
  </w:style>
  <w:style w:type="character" w:styleId="717" w:customStyle="1">
    <w:name w:val="Выделенная цитата Знак"/>
    <w:uiPriority w:val="30"/>
    <w:qFormat/>
    <w:rPr>
      <w:i/>
    </w:rPr>
  </w:style>
  <w:style w:type="character" w:styleId="718" w:customStyle="1">
    <w:name w:val="Header Char"/>
    <w:uiPriority w:val="99"/>
    <w:qFormat/>
  </w:style>
  <w:style w:type="character" w:styleId="719" w:customStyle="1">
    <w:name w:val="Footer Char"/>
    <w:uiPriority w:val="99"/>
    <w:qFormat/>
  </w:style>
  <w:style w:type="character" w:styleId="720" w:customStyle="1">
    <w:name w:val="Caption Char"/>
    <w:uiPriority w:val="99"/>
    <w:qFormat/>
  </w:style>
  <w:style w:type="character" w:styleId="721">
    <w:name w:val="Hyperlink"/>
    <w:uiPriority w:val="99"/>
    <w:unhideWhenUsed/>
    <w:rPr>
      <w:rFonts w:cs="Times New Roman"/>
      <w:color w:val="0000ff"/>
      <w:u w:val="single"/>
    </w:rPr>
  </w:style>
  <w:style w:type="character" w:styleId="722" w:customStyle="1">
    <w:name w:val="Текст сноски Знак"/>
    <w:uiPriority w:val="99"/>
    <w:qFormat/>
    <w:rPr>
      <w:sz w:val="18"/>
    </w:rPr>
  </w:style>
  <w:style w:type="character" w:styleId="723" w:customStyle="1">
    <w:name w:val="Footnote Characters"/>
    <w:uiPriority w:val="99"/>
    <w:unhideWhenUsed/>
    <w:qFormat/>
    <w:rPr>
      <w:vertAlign w:val="superscript"/>
    </w:rPr>
  </w:style>
  <w:style w:type="character" w:styleId="724" w:customStyle="1">
    <w:name w:val="Footnote Anchor"/>
    <w:rPr>
      <w:vertAlign w:val="superscript"/>
    </w:rPr>
  </w:style>
  <w:style w:type="character" w:styleId="725" w:customStyle="1">
    <w:name w:val="Текст концевой сноски Знак"/>
    <w:uiPriority w:val="99"/>
    <w:qFormat/>
    <w:rPr>
      <w:sz w:val="20"/>
    </w:rPr>
  </w:style>
  <w:style w:type="character" w:styleId="726" w:customStyle="1">
    <w:name w:val="Endnote Characters"/>
    <w:uiPriority w:val="99"/>
    <w:semiHidden/>
    <w:unhideWhenUsed/>
    <w:qFormat/>
    <w:rPr>
      <w:vertAlign w:val="superscript"/>
    </w:rPr>
  </w:style>
  <w:style w:type="character" w:styleId="727" w:customStyle="1">
    <w:name w:val="Endnote Anchor"/>
    <w:rPr>
      <w:vertAlign w:val="superscript"/>
    </w:rPr>
  </w:style>
  <w:style w:type="character" w:styleId="728" w:customStyle="1">
    <w:name w:val="Заголовок 1 Знак"/>
    <w:link w:val="728"/>
    <w:uiPriority w:val="9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729" w:customStyle="1">
    <w:name w:val="Заголовок 2 Знак"/>
    <w:link w:val="716"/>
    <w:uiPriority w:val="99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30" w:customStyle="1">
    <w:name w:val="Основной текст с отступом Знак"/>
    <w:uiPriority w:val="99"/>
    <w:qFormat/>
    <w:rPr>
      <w:rFonts w:cs="Times New Roman"/>
      <w:sz w:val="24"/>
      <w:szCs w:val="24"/>
    </w:rPr>
  </w:style>
  <w:style w:type="character" w:styleId="731" w:customStyle="1">
    <w:name w:val="Основной текст с отступом 2 Знак"/>
    <w:link w:val="798"/>
    <w:uiPriority w:val="99"/>
    <w:qFormat/>
    <w:rPr>
      <w:rFonts w:cs="Times New Roman"/>
      <w:sz w:val="24"/>
      <w:szCs w:val="24"/>
    </w:rPr>
  </w:style>
  <w:style w:type="character" w:styleId="732" w:customStyle="1">
    <w:name w:val="Верхний колонтитул Знак"/>
    <w:uiPriority w:val="99"/>
    <w:qFormat/>
    <w:rPr>
      <w:rFonts w:cs="Times New Roman"/>
      <w:sz w:val="24"/>
      <w:szCs w:val="24"/>
    </w:rPr>
  </w:style>
  <w:style w:type="character" w:styleId="733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734" w:customStyle="1">
    <w:name w:val="Нижний колонтитул Знак"/>
    <w:uiPriority w:val="99"/>
    <w:qFormat/>
    <w:rPr>
      <w:rFonts w:cs="Times New Roman"/>
      <w:sz w:val="24"/>
      <w:szCs w:val="24"/>
    </w:rPr>
  </w:style>
  <w:style w:type="character" w:styleId="735" w:customStyle="1">
    <w:name w:val="Заголовок 3 Знак"/>
    <w:link w:val="735"/>
    <w:uiPriority w:val="99"/>
    <w:qFormat/>
    <w:rPr>
      <w:sz w:val="28"/>
      <w:szCs w:val="28"/>
    </w:rPr>
  </w:style>
  <w:style w:type="character" w:styleId="736" w:customStyle="1">
    <w:name w:val="Заголовок 4 Знак"/>
    <w:link w:val="736"/>
    <w:uiPriority w:val="99"/>
    <w:qFormat/>
    <w:rPr>
      <w:color w:val="000000"/>
      <w:sz w:val="28"/>
      <w:szCs w:val="28"/>
    </w:rPr>
  </w:style>
  <w:style w:type="character" w:styleId="737" w:customStyle="1">
    <w:name w:val="Заголовок 5 Знак"/>
    <w:link w:val="737"/>
    <w:uiPriority w:val="99"/>
    <w:qFormat/>
    <w:rPr>
      <w:color w:val="000000"/>
      <w:sz w:val="28"/>
      <w:szCs w:val="28"/>
    </w:rPr>
  </w:style>
  <w:style w:type="character" w:styleId="738" w:customStyle="1">
    <w:name w:val="Заголовок 6 Знак"/>
    <w:link w:val="738"/>
    <w:uiPriority w:val="99"/>
    <w:qFormat/>
    <w:rPr>
      <w:color w:val="000000"/>
      <w:sz w:val="28"/>
      <w:szCs w:val="28"/>
    </w:rPr>
  </w:style>
  <w:style w:type="character" w:styleId="739" w:customStyle="1">
    <w:name w:val="Заголовок 7 Знак"/>
    <w:link w:val="739"/>
    <w:uiPriority w:val="99"/>
    <w:qFormat/>
    <w:rPr>
      <w:b/>
      <w:bCs/>
      <w:color w:val="000000"/>
      <w:sz w:val="28"/>
      <w:szCs w:val="28"/>
    </w:rPr>
  </w:style>
  <w:style w:type="character" w:styleId="740" w:customStyle="1">
    <w:name w:val="Заголовок 8 Знак"/>
    <w:link w:val="740"/>
    <w:uiPriority w:val="99"/>
    <w:qFormat/>
    <w:rPr>
      <w:color w:val="000000"/>
      <w:sz w:val="28"/>
      <w:szCs w:val="28"/>
    </w:rPr>
  </w:style>
  <w:style w:type="character" w:styleId="741" w:customStyle="1">
    <w:name w:val="Заголовок 9 Знак"/>
    <w:link w:val="741"/>
    <w:uiPriority w:val="99"/>
    <w:qFormat/>
    <w:rPr>
      <w:sz w:val="28"/>
      <w:szCs w:val="28"/>
    </w:rPr>
  </w:style>
  <w:style w:type="character" w:styleId="742" w:customStyle="1">
    <w:name w:val="Основной шрифт"/>
    <w:uiPriority w:val="99"/>
    <w:qFormat/>
  </w:style>
  <w:style w:type="character" w:styleId="743" w:customStyle="1">
    <w:name w:val="номер страницы"/>
    <w:uiPriority w:val="99"/>
    <w:qFormat/>
    <w:rPr>
      <w:rFonts w:cs="Times New Roman"/>
    </w:rPr>
  </w:style>
  <w:style w:type="character" w:styleId="744" w:customStyle="1">
    <w:name w:val="Основной текст Знак"/>
    <w:uiPriority w:val="99"/>
    <w:qFormat/>
    <w:rPr>
      <w:sz w:val="28"/>
      <w:szCs w:val="28"/>
    </w:rPr>
  </w:style>
  <w:style w:type="character" w:styleId="745">
    <w:name w:val="page number"/>
    <w:uiPriority w:val="99"/>
    <w:qFormat/>
    <w:rPr>
      <w:rFonts w:cs="Times New Roman"/>
    </w:rPr>
  </w:style>
  <w:style w:type="character" w:styleId="746" w:customStyle="1">
    <w:name w:val="Основной текст_"/>
    <w:qFormat/>
    <w:rPr>
      <w:sz w:val="28"/>
      <w:szCs w:val="28"/>
      <w:shd w:val="clear" w:color="auto" w:fill="ffffff"/>
    </w:rPr>
  </w:style>
  <w:style w:type="character" w:styleId="747" w:customStyle="1">
    <w:name w:val="Основной текст + 10 pt;Интервал 0 pt"/>
    <w:qFormat/>
    <w:rPr>
      <w:rFonts w:ascii="Times New Roman" w:hAnsi="Times New Roman" w:eastAsia="Times New Roman" w:cs="Times New Roman"/>
      <w:color w:val="000000"/>
      <w:spacing w:val="7"/>
      <w:sz w:val="20"/>
      <w:szCs w:val="20"/>
      <w:u w:val="none"/>
      <w:lang w:val="ru-RU" w:eastAsia="ru-RU" w:bidi="ru-RU"/>
    </w:rPr>
  </w:style>
  <w:style w:type="character" w:styleId="748" w:customStyle="1">
    <w:name w:val="Без интервала Знак"/>
    <w:uiPriority w:val="1"/>
    <w:qFormat/>
    <w:rPr>
      <w:sz w:val="24"/>
      <w:szCs w:val="24"/>
      <w:lang w:bidi="ar-SA"/>
    </w:rPr>
  </w:style>
  <w:style w:type="character" w:styleId="749">
    <w:name w:val="FollowedHyperlink"/>
    <w:uiPriority w:val="99"/>
    <w:semiHidden/>
    <w:unhideWhenUsed/>
    <w:rPr>
      <w:color w:val="800080"/>
      <w:u w:val="single"/>
    </w:rPr>
  </w:style>
  <w:style w:type="character" w:styleId="750" w:customStyle="1">
    <w:name w:val="Название Знак"/>
    <w:uiPriority w:val="10"/>
    <w:qFormat/>
    <w:rPr>
      <w:rFonts w:ascii="Cambria" w:hAnsi="Cambria"/>
      <w:color w:val="17365d"/>
      <w:spacing w:val="5"/>
      <w:sz w:val="52"/>
      <w:szCs w:val="52"/>
    </w:rPr>
  </w:style>
  <w:style w:type="character" w:styleId="751">
    <w:name w:val="Strong"/>
    <w:uiPriority w:val="22"/>
    <w:qFormat/>
    <w:rPr>
      <w:b/>
      <w:bCs/>
    </w:rPr>
  </w:style>
  <w:style w:type="character" w:styleId="752">
    <w:name w:val="annotation reference"/>
    <w:uiPriority w:val="99"/>
    <w:semiHidden/>
    <w:unhideWhenUsed/>
    <w:qFormat/>
    <w:rPr>
      <w:sz w:val="16"/>
      <w:szCs w:val="16"/>
    </w:rPr>
  </w:style>
  <w:style w:type="character" w:styleId="753" w:customStyle="1">
    <w:name w:val="Текст примечания Знак"/>
    <w:uiPriority w:val="99"/>
    <w:semiHidden/>
    <w:qFormat/>
    <w:rPr>
      <w:rFonts w:ascii="Calibri" w:hAnsi="Calibri" w:eastAsia="Calibri"/>
      <w:lang w:eastAsia="en-US"/>
    </w:rPr>
  </w:style>
  <w:style w:type="character" w:styleId="754" w:customStyle="1">
    <w:name w:val="Тема примечания Знак"/>
    <w:uiPriority w:val="99"/>
    <w:semiHidden/>
    <w:qFormat/>
    <w:rPr>
      <w:rFonts w:ascii="Calibri" w:hAnsi="Calibri" w:eastAsia="Calibri"/>
      <w:b/>
      <w:bCs/>
      <w:lang w:eastAsia="en-US"/>
    </w:rPr>
  </w:style>
  <w:style w:type="character" w:styleId="755" w:customStyle="1">
    <w:name w:val="apple-converted-space"/>
    <w:qFormat/>
  </w:style>
  <w:style w:type="paragraph" w:styleId="756" w:customStyle="1">
    <w:name w:val="Heading"/>
    <w:basedOn w:val="678"/>
    <w:next w:val="75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57">
    <w:name w:val="Body Text"/>
    <w:basedOn w:val="678"/>
    <w:uiPriority w:val="99"/>
    <w:pPr>
      <w:jc w:val="both"/>
    </w:pPr>
    <w:rPr>
      <w:sz w:val="28"/>
      <w:szCs w:val="28"/>
      <w:lang w:val="en-US" w:eastAsia="en-US"/>
    </w:rPr>
  </w:style>
  <w:style w:type="paragraph" w:styleId="758">
    <w:name w:val="List"/>
    <w:basedOn w:val="757"/>
    <w:rPr>
      <w:rFonts w:cs="Mangal"/>
    </w:rPr>
  </w:style>
  <w:style w:type="paragraph" w:styleId="759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 w:customStyle="1">
    <w:name w:val="Index"/>
    <w:basedOn w:val="678"/>
    <w:qFormat/>
    <w:pPr>
      <w:suppressLineNumbers/>
    </w:pPr>
    <w:rPr>
      <w:rFonts w:cs="Mangal"/>
    </w:rPr>
  </w:style>
  <w:style w:type="paragraph" w:styleId="761">
    <w:name w:val="List Paragraph"/>
    <w:basedOn w:val="6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2">
    <w:name w:val="No Spacing"/>
    <w:uiPriority w:val="1"/>
    <w:qFormat/>
    <w:rPr>
      <w:sz w:val="24"/>
      <w:szCs w:val="24"/>
      <w:lang w:eastAsia="ru-RU"/>
    </w:rPr>
  </w:style>
  <w:style w:type="paragraph" w:styleId="763">
    <w:name w:val="Title"/>
    <w:basedOn w:val="678"/>
    <w:next w:val="678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4">
    <w:name w:val="Subtitle"/>
    <w:basedOn w:val="678"/>
    <w:next w:val="678"/>
    <w:link w:val="698"/>
    <w:uiPriority w:val="11"/>
    <w:qFormat/>
    <w:pPr>
      <w:spacing w:before="200" w:after="200"/>
    </w:pPr>
  </w:style>
  <w:style w:type="paragraph" w:styleId="765">
    <w:name w:val="Quote"/>
    <w:basedOn w:val="678"/>
    <w:next w:val="678"/>
    <w:link w:val="699"/>
    <w:uiPriority w:val="29"/>
    <w:qFormat/>
    <w:pPr>
      <w:ind w:left="720" w:right="720"/>
    </w:pPr>
    <w:rPr>
      <w:i/>
    </w:rPr>
  </w:style>
  <w:style w:type="paragraph" w:styleId="766">
    <w:name w:val="Intense Quote"/>
    <w:basedOn w:val="678"/>
    <w:next w:val="678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7" w:customStyle="1">
    <w:name w:val="Header and Footer"/>
    <w:basedOn w:val="678"/>
    <w:qFormat/>
  </w:style>
  <w:style w:type="paragraph" w:styleId="768">
    <w:name w:val="Header"/>
    <w:basedOn w:val="678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paragraph" w:styleId="769">
    <w:name w:val="Footer"/>
    <w:basedOn w:val="67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770">
    <w:name w:val="footnote text"/>
    <w:basedOn w:val="678"/>
    <w:link w:val="701"/>
    <w:uiPriority w:val="99"/>
    <w:semiHidden/>
    <w:unhideWhenUsed/>
    <w:pPr>
      <w:spacing w:after="40"/>
    </w:pPr>
    <w:rPr>
      <w:sz w:val="18"/>
    </w:rPr>
  </w:style>
  <w:style w:type="paragraph" w:styleId="771">
    <w:name w:val="endnote text"/>
    <w:basedOn w:val="678"/>
    <w:link w:val="703"/>
    <w:uiPriority w:val="99"/>
    <w:semiHidden/>
    <w:unhideWhenUsed/>
    <w:rPr>
      <w:sz w:val="20"/>
    </w:rPr>
  </w:style>
  <w:style w:type="paragraph" w:styleId="772">
    <w:name w:val="toc 1"/>
    <w:basedOn w:val="678"/>
    <w:next w:val="678"/>
    <w:uiPriority w:val="39"/>
    <w:unhideWhenUsed/>
    <w:pPr>
      <w:spacing w:after="57"/>
    </w:pPr>
  </w:style>
  <w:style w:type="paragraph" w:styleId="773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774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775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776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777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778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779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780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781">
    <w:name w:val="index heading"/>
    <w:basedOn w:val="756"/>
  </w:style>
  <w:style w:type="paragraph" w:styleId="782">
    <w:name w:val="TOC Heading"/>
    <w:uiPriority w:val="39"/>
    <w:unhideWhenUsed/>
  </w:style>
  <w:style w:type="paragraph" w:styleId="783">
    <w:name w:val="table of figures"/>
    <w:basedOn w:val="678"/>
    <w:next w:val="678"/>
    <w:uiPriority w:val="99"/>
    <w:unhideWhenUsed/>
    <w:qFormat/>
  </w:style>
  <w:style w:type="paragraph" w:styleId="784">
    <w:name w:val="Body Text Indent"/>
    <w:basedOn w:val="678"/>
    <w:uiPriority w:val="99"/>
    <w:pPr>
      <w:jc w:val="center"/>
    </w:pPr>
    <w:rPr>
      <w:lang w:val="en-US" w:eastAsia="en-US"/>
    </w:rPr>
  </w:style>
  <w:style w:type="paragraph" w:styleId="785">
    <w:name w:val="Body Text Indent 2"/>
    <w:basedOn w:val="678"/>
    <w:uiPriority w:val="99"/>
    <w:qFormat/>
    <w:pPr>
      <w:ind w:right="-5" w:firstLine="720"/>
    </w:pPr>
    <w:rPr>
      <w:lang w:val="en-US" w:eastAsia="en-US"/>
    </w:rPr>
  </w:style>
  <w:style w:type="paragraph" w:styleId="786">
    <w:name w:val="Balloon Text"/>
    <w:basedOn w:val="678"/>
    <w:uiPriority w:val="99"/>
    <w:semiHidden/>
    <w:qFormat/>
    <w:rPr>
      <w:rFonts w:ascii="Tahoma" w:hAnsi="Tahoma"/>
      <w:sz w:val="16"/>
      <w:szCs w:val="16"/>
      <w:lang w:val="en-US" w:eastAsia="en-US"/>
    </w:rPr>
  </w:style>
  <w:style w:type="paragraph" w:styleId="787">
    <w:name w:val="Normal (Web)"/>
    <w:basedOn w:val="678"/>
    <w:uiPriority w:val="99"/>
    <w:qFormat/>
    <w:pPr>
      <w:spacing w:beforeAutospacing="1" w:afterAutospacing="1"/>
    </w:pPr>
  </w:style>
  <w:style w:type="paragraph" w:styleId="788" w:customStyle="1">
    <w:name w:val="заголовок 1"/>
    <w:basedOn w:val="678"/>
    <w:next w:val="678"/>
    <w:uiPriority w:val="99"/>
    <w:qFormat/>
    <w:pPr>
      <w:jc w:val="center"/>
      <w:keepNext/>
      <w:outlineLvl w:val="0"/>
    </w:pPr>
    <w:rPr>
      <w:b/>
      <w:bCs/>
      <w:sz w:val="28"/>
      <w:szCs w:val="28"/>
    </w:rPr>
  </w:style>
  <w:style w:type="paragraph" w:styleId="789" w:customStyle="1">
    <w:name w:val="заголовок 2"/>
    <w:basedOn w:val="678"/>
    <w:next w:val="678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790">
    <w:name w:val="Body Text 2"/>
    <w:basedOn w:val="678"/>
    <w:uiPriority w:val="99"/>
    <w:qFormat/>
    <w:pPr>
      <w:jc w:val="both"/>
    </w:pPr>
    <w:rPr>
      <w:sz w:val="28"/>
      <w:szCs w:val="28"/>
      <w:lang w:val="en-US" w:eastAsia="en-US"/>
    </w:rPr>
  </w:style>
  <w:style w:type="paragraph" w:styleId="791">
    <w:name w:val="Body Text Indent 3"/>
    <w:basedOn w:val="678"/>
    <w:uiPriority w:val="99"/>
    <w:qFormat/>
    <w:pPr>
      <w:ind w:firstLine="720"/>
      <w:jc w:val="both"/>
    </w:pPr>
    <w:rPr>
      <w:color w:val="000000"/>
      <w:sz w:val="28"/>
      <w:szCs w:val="28"/>
      <w:lang w:val="en-US" w:eastAsia="en-US"/>
    </w:rPr>
  </w:style>
  <w:style w:type="paragraph" w:styleId="792" w:customStyle="1">
    <w:name w:val="ConsNonformat"/>
    <w:uiPriority w:val="99"/>
    <w:qFormat/>
    <w:pPr>
      <w:widowControl w:val="off"/>
    </w:pPr>
    <w:rPr>
      <w:rFonts w:ascii="Courier New" w:hAnsi="Courier New" w:cs="Courier New"/>
      <w:lang w:eastAsia="ru-RU"/>
    </w:rPr>
  </w:style>
  <w:style w:type="paragraph" w:styleId="793" w:customStyle="1">
    <w:name w:val="ConsNormal"/>
    <w:uiPriority w:val="99"/>
    <w:qFormat/>
    <w:pPr>
      <w:ind w:firstLine="720"/>
      <w:widowControl w:val="off"/>
    </w:pPr>
    <w:rPr>
      <w:rFonts w:ascii="Courier" w:hAnsi="Courier" w:cs="Courier"/>
      <w:lang w:eastAsia="ru-RU"/>
    </w:rPr>
  </w:style>
  <w:style w:type="paragraph" w:styleId="794" w:customStyle="1">
    <w:name w:val="ConsTitle"/>
    <w:uiPriority w:val="99"/>
    <w:qFormat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795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796" w:customStyle="1">
    <w:name w:val="ConsPlusCell"/>
    <w:uiPriority w:val="99"/>
    <w:qFormat/>
    <w:rPr>
      <w:sz w:val="28"/>
      <w:szCs w:val="28"/>
      <w:lang w:eastAsia="ru-RU"/>
    </w:rPr>
  </w:style>
  <w:style w:type="paragraph" w:styleId="797" w:customStyle="1">
    <w:name w:val="Алексей"/>
    <w:basedOn w:val="678"/>
    <w:qFormat/>
    <w:pPr>
      <w:ind w:firstLine="709"/>
      <w:jc w:val="both"/>
      <w:spacing w:line="360" w:lineRule="auto"/>
    </w:pPr>
    <w:rPr>
      <w:sz w:val="28"/>
      <w:szCs w:val="28"/>
    </w:rPr>
  </w:style>
  <w:style w:type="paragraph" w:styleId="798" w:customStyle="1">
    <w:name w:val="Основной текст2"/>
    <w:basedOn w:val="678"/>
    <w:link w:val="731"/>
    <w:qFormat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paragraph" w:styleId="799" w:customStyle="1">
    <w:name w:val="Body Text 2.Мой Заголовок 1.Основной текст 1"/>
    <w:basedOn w:val="678"/>
    <w:qFormat/>
    <w:pPr>
      <w:ind w:firstLine="709"/>
      <w:jc w:val="both"/>
    </w:pPr>
    <w:rPr>
      <w:sz w:val="28"/>
      <w:szCs w:val="28"/>
    </w:rPr>
  </w:style>
  <w:style w:type="paragraph" w:styleId="800" w:customStyle="1">
    <w:name w:val="Знак"/>
    <w:basedOn w:val="678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01" w:customStyle="1">
    <w:name w:val="Название"/>
    <w:basedOn w:val="678"/>
    <w:next w:val="678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paragraph" w:styleId="802" w:customStyle="1">
    <w:name w:val="Нормальный (таблица)"/>
    <w:basedOn w:val="678"/>
    <w:next w:val="678"/>
    <w:uiPriority w:val="99"/>
    <w:qFormat/>
    <w:pPr>
      <w:jc w:val="both"/>
      <w:widowControl w:val="off"/>
    </w:pPr>
    <w:rPr>
      <w:rFonts w:ascii="Arial" w:hAnsi="Arial" w:cs="Arial"/>
    </w:rPr>
  </w:style>
  <w:style w:type="paragraph" w:styleId="803">
    <w:name w:val="annotation text"/>
    <w:basedOn w:val="678"/>
    <w:uiPriority w:val="99"/>
    <w:semiHidden/>
    <w:unhideWhenUsed/>
    <w:qFormat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paragraph" w:styleId="804">
    <w:name w:val="annotation subject"/>
    <w:basedOn w:val="803"/>
    <w:next w:val="803"/>
    <w:uiPriority w:val="99"/>
    <w:semiHidden/>
    <w:unhideWhenUsed/>
    <w:qFormat/>
    <w:rPr>
      <w:b/>
      <w:bCs/>
    </w:rPr>
  </w:style>
  <w:style w:type="paragraph" w:styleId="805" w:customStyle="1">
    <w:name w:val="formattext"/>
    <w:qFormat/>
    <w:pPr>
      <w:spacing w:beforeAutospacing="1" w:afterAutospacing="1"/>
    </w:pPr>
    <w:rPr>
      <w:sz w:val="24"/>
      <w:szCs w:val="24"/>
      <w:lang w:eastAsia="ru-RU"/>
    </w:rPr>
  </w:style>
  <w:style w:type="numbering" w:styleId="806" w:customStyle="1">
    <w:name w:val="Нет списка1"/>
    <w:uiPriority w:val="99"/>
    <w:semiHidden/>
    <w:unhideWhenUsed/>
    <w:qFormat/>
  </w:style>
  <w:style w:type="numbering" w:styleId="807" w:customStyle="1">
    <w:name w:val="Нет списка11"/>
    <w:uiPriority w:val="99"/>
    <w:semiHidden/>
    <w:unhideWhenUsed/>
    <w:qFormat/>
  </w:style>
  <w:style w:type="table" w:styleId="808">
    <w:name w:val="Table Grid"/>
    <w:basedOn w:val="689"/>
    <w:uiPriority w:val="99"/>
    <w:tblPr/>
  </w:style>
  <w:style w:type="table" w:styleId="809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2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39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40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41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50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78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9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00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02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03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04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05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06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7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28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30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31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32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33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  <w:style w:type="table" w:styleId="934" w:customStyle="1">
    <w:name w:val="Сетка таблицы1"/>
    <w:basedOn w:val="689"/>
    <w:uiPriority w:val="99"/>
    <w:tblPr/>
  </w:style>
  <w:style w:type="table" w:styleId="935" w:customStyle="1">
    <w:name w:val="Сетка таблицы1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Сетка таблицы2"/>
    <w:basedOn w:val="689"/>
    <w:uiPriority w:val="9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~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svv</dc:creator>
  <dc:description/>
  <dc:language>ru-RU</dc:language>
  <cp:revision>21</cp:revision>
  <dcterms:created xsi:type="dcterms:W3CDTF">2024-12-12T04:06:00Z</dcterms:created>
  <dcterms:modified xsi:type="dcterms:W3CDTF">2025-03-13T10:45:50Z</dcterms:modified>
  <cp:version>917504</cp:version>
</cp:coreProperties>
</file>