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4208086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5244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ПРИРОДНЫХ РЕСУРСОВ И ЭКОЛОГИИ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5"/>
        <w:jc w:val="both"/>
        <w:spacing w:after="0" w:afterAutospacing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jc w:val="both"/>
        <w:spacing w:after="0" w:afterAutospacing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 проекту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Губернатора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0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в постановление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от 23.06.2011 № 156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 Правительства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постановление 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от 23.06.2011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№ 156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разработан с целью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внесения изменений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 Губернатора Новосибирской области от 23.06.2011 № 156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утверждении Административного рег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ламента министерства природных ресурсов и экологии Новосибирской области предоставления государственной услуги по выдаче разрешений на выполнение работ по геологическому изучению недр на землях лесного фонда без предост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авления лесного участка, если выполнение таких работ не влечет за собой проведение рубок лесных насаждений»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риведения его в соответствие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постановлением Правительства Российской Федерации от 20.07.2021 № 1228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тов Правительства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в части требований к структуре Административного регламента.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акта не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длежит оценке регулирующего воздействия, поскольку им не устанавливаются новые и не изменяются ранее предусмотренные нормативными правовыми актами Новосибирской области обязанности для субъекто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предпринимательской и инвестиционной деятельности.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</w:rPr>
        <w:t xml:space="preserve">Предложенные проектом нормативного правового акта изменения носят структурный характер, поэтому его принятие и реализация </w:t>
      </w:r>
      <w:r>
        <w:rPr>
          <w:rFonts w:ascii="Times New Roman" w:hAnsi="Times New Roman" w:eastAsia="Times New Roman"/>
          <w:sz w:val="28"/>
          <w:szCs w:val="28"/>
        </w:rPr>
        <w:t xml:space="preserve">не потребуют дополнительных расходов из областного бюджета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ab/>
        <w:t xml:space="preserve">  Е.А. Шестернин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Бондаренко О.В.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296 51 58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31">
    <w:name w:val="Heading 1"/>
    <w:basedOn w:val="830"/>
    <w:next w:val="830"/>
    <w:link w:val="836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character" w:styleId="836" w:customStyle="1">
    <w:name w:val="Заголовок 1 Знак"/>
    <w:link w:val="831"/>
    <w:uiPriority w:val="9"/>
    <w:rPr>
      <w:rFonts w:ascii="Times New Roman" w:hAnsi="Times New Roman" w:eastAsia="Times New Roman"/>
      <w:sz w:val="28"/>
      <w:szCs w:val="28"/>
    </w:rPr>
  </w:style>
  <w:style w:type="paragraph" w:styleId="837" w:customStyle="1">
    <w:name w:val="ConsPlusNormal"/>
    <w:uiPriority w:val="99"/>
    <w:rPr>
      <w:rFonts w:ascii="Times New Roman" w:hAnsi="Times New Roman"/>
      <w:sz w:val="28"/>
      <w:szCs w:val="28"/>
    </w:rPr>
  </w:style>
  <w:style w:type="table" w:styleId="838">
    <w:name w:val="Table Grid"/>
    <w:basedOn w:val="8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2"/>
    <w:link w:val="83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41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842" w:customStyle="1">
    <w:name w:val="Основной текст с отступом 2"/>
    <w:uiPriority w:val="99"/>
    <w:pPr>
      <w:contextualSpacing w:val="0"/>
      <w:ind w:left="0" w:right="-5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9</cp:revision>
  <dcterms:created xsi:type="dcterms:W3CDTF">2022-05-06T08:08:00Z</dcterms:created>
  <dcterms:modified xsi:type="dcterms:W3CDTF">2025-03-13T10:38:02Z</dcterms:modified>
</cp:coreProperties>
</file>