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лимита </w:t>
      </w:r>
      <w:r>
        <w:rPr>
          <w:sz w:val="28"/>
          <w:szCs w:val="28"/>
        </w:rPr>
        <w:t xml:space="preserve">добычи охотничьих ресурсов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</w:t>
      </w:r>
      <w:r>
        <w:rPr>
          <w:rFonts w:eastAsia="Calibri"/>
          <w:sz w:val="28"/>
          <w:szCs w:val="28"/>
          <w:lang w:eastAsia="en-US"/>
        </w:rPr>
        <w:t xml:space="preserve">онод</w:t>
      </w:r>
      <w:r>
        <w:rPr>
          <w:rFonts w:eastAsia="Calibri"/>
          <w:sz w:val="28"/>
          <w:szCs w:val="28"/>
          <w:lang w:eastAsia="en-US"/>
        </w:rPr>
        <w:t xml:space="preserve">ательные акты Российской Федерации», подпунктом 6 пункта 2 статьи 5 Закона Новосибирской области от 06.10.2010 № 531-ОЗ «Об охоте и сохранении охотничьих ресурсов на территории Новосибирской области», с учетом приказа министерства природных ресурсов и экол</w:t>
      </w:r>
      <w:r>
        <w:rPr>
          <w:rFonts w:eastAsia="Calibri"/>
          <w:sz w:val="28"/>
          <w:szCs w:val="28"/>
          <w:lang w:eastAsia="en-US"/>
        </w:rPr>
        <w:t xml:space="preserve">огии Новосибирской области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 16.05.2025 № 469-НПА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«Об утверждении заключения экспертной комиссии государственной экологической экспертизы материалов «Проект лимита добычи охотничьих ресурсов на территории Новосибирской области, за исключением охотничьих ре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сурсов, находящихся на особо охраняемых природных территориях федерального значения, содержащий материалы «Обоснование объемов (лимитов, квот) добычи охотничьих ресурсов: лося, косули сибирской, рыси, соболя, медведя бурого, барсука на территории Новосибир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ской области в сезоне охоты 2025-2026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 г.г.»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в целях обеспечения устойчивого использования охотничьих ресурсов  </w:t>
      </w:r>
      <w:r>
        <w:rPr>
          <w:rFonts w:eastAsia="Calibri"/>
          <w:b/>
          <w:sz w:val="28"/>
          <w:szCs w:val="28"/>
          <w:lang w:eastAsia="en-US"/>
        </w:rPr>
        <w:t xml:space="preserve">п о с т а н о в л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я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</w:t>
      </w:r>
      <w:r>
        <w:rPr>
          <w:rFonts w:eastAsia="Calibri"/>
          <w:sz w:val="28"/>
          <w:szCs w:val="28"/>
          <w:lang w:eastAsia="en-US"/>
        </w:rPr>
        <w:t xml:space="preserve">ения, на период с 1 августа 2025 года до 1 августа 2026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квоты добычи медведя бурого для каждого охотничьего угодья на 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2025 года до 1 августа 2026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квоты добычи барсука для каждого охотничьего угодья на 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2025 года до 1 августа 2026</w:t>
      </w:r>
      <w:r>
        <w:rPr>
          <w:rFonts w:eastAsia="Calibri"/>
          <w:sz w:val="28"/>
          <w:szCs w:val="28"/>
          <w:lang w:eastAsia="en-US"/>
        </w:rPr>
        <w:t xml:space="preserve"> года.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Признать </w:t>
      </w:r>
      <w:r>
        <w:rPr>
          <w:rFonts w:eastAsia="Calibri"/>
          <w:sz w:val="28"/>
          <w:szCs w:val="28"/>
          <w:lang w:eastAsia="en-US"/>
        </w:rPr>
        <w:t xml:space="preserve">утратившим силу с 1 августа 2025</w:t>
      </w:r>
      <w:r>
        <w:rPr>
          <w:rFonts w:eastAsia="Calibri"/>
          <w:sz w:val="28"/>
          <w:szCs w:val="28"/>
          <w:lang w:eastAsia="en-US"/>
        </w:rPr>
        <w:t xml:space="preserve"> года постановление Губернатора Новосибирской области от </w:t>
      </w:r>
      <w:r>
        <w:rPr>
          <w:rFonts w:eastAsia="Calibri"/>
          <w:sz w:val="28"/>
          <w:szCs w:val="28"/>
          <w:lang w:eastAsia="en-US"/>
        </w:rPr>
        <w:t xml:space="preserve">10.07.202</w:t>
      </w:r>
      <w:r>
        <w:rPr>
          <w:rFonts w:eastAsia="Calibri"/>
          <w:sz w:val="28"/>
          <w:szCs w:val="28"/>
          <w:lang w:eastAsia="en-US"/>
        </w:rPr>
        <w:t xml:space="preserve">4 № 133</w:t>
      </w:r>
      <w:r>
        <w:rPr>
          <w:rFonts w:eastAsia="Calibr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</w:t>
      </w:r>
      <w:r>
        <w:rPr>
          <w:rFonts w:eastAsia="Calibri"/>
          <w:sz w:val="28"/>
          <w:szCs w:val="28"/>
          <w:lang w:eastAsia="en-US"/>
        </w:rPr>
        <w:t xml:space="preserve">области».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line="244" w:lineRule="auto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Контроль за исполнением настоящего постановления возложить на заместителя Председателя Правительства Новосибирской области – министра сельского хозяйства Шинделова А.В.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Е.А. Шестернин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96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51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>
        <w:tblPrEx/>
        <w:trPr>
          <w:trHeight w:val="453"/>
        </w:trPr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В.М. Знатков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449"/>
        </w:trPr>
        <w:tc>
          <w:tcPr>
            <w:tcW w:w="6062" w:type="dxa"/>
            <w:textDirection w:val="lrTb"/>
            <w:noWrap w:val="false"/>
          </w:tcPr>
          <w:p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5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А.В. Шинделов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5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 юстиции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Т.Н. Деркач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5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 природных ресурсов и экологии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Е.А. Шестернин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570"/>
        </w:trPr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5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Начальник о</w:t>
      </w:r>
      <w:r>
        <w:t xml:space="preserve">тдел</w:t>
      </w:r>
      <w:r>
        <w:t xml:space="preserve">а</w:t>
      </w:r>
      <w:r>
        <w:t xml:space="preserve"> правового обеспечения</w:t>
      </w:r>
      <w:r/>
    </w:p>
    <w:p>
      <w:pPr>
        <w:jc w:val="both"/>
        <w:widowControl w:val="off"/>
      </w:pPr>
      <w:r>
        <w:t xml:space="preserve">д</w:t>
      </w:r>
      <w:r>
        <w:t xml:space="preserve">еятельности</w:t>
      </w:r>
      <w:r>
        <w:t xml:space="preserve"> </w:t>
      </w:r>
      <w:r>
        <w:t xml:space="preserve">управления правового, кадрового </w:t>
      </w:r>
      <w:r/>
    </w:p>
    <w:p>
      <w:pPr>
        <w:jc w:val="both"/>
        <w:widowControl w:val="off"/>
      </w:pPr>
      <w:r>
        <w:t xml:space="preserve">и документационного обеспечения</w:t>
      </w:r>
      <w:r/>
    </w:p>
    <w:p>
      <w:pPr>
        <w:jc w:val="both"/>
        <w:widowControl w:val="off"/>
      </w:pPr>
      <w:r>
        <w:t xml:space="preserve">министерства природных ресурсов и экологии</w:t>
      </w:r>
      <w:r/>
    </w:p>
    <w:p>
      <w:pPr>
        <w:jc w:val="both"/>
        <w:widowControl w:val="off"/>
      </w:pPr>
      <w:r>
        <w:t xml:space="preserve"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О.В. Бондаренко</w:t>
      </w:r>
      <w:r/>
    </w:p>
    <w:p>
      <w:pPr>
        <w:pStyle w:val="868"/>
        <w:jc w:val="both"/>
      </w:pPr>
      <w:r/>
      <w:r/>
    </w:p>
    <w:p>
      <w:pPr>
        <w:jc w:val="both"/>
        <w:spacing w:line="228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2603851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5"/>
    <w:uiPriority w:val="34"/>
    <w:qFormat/>
    <w:pPr>
      <w:contextualSpacing/>
      <w:ind w:left="720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6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64"/>
    <w:uiPriority w:val="99"/>
  </w:style>
  <w:style w:type="character" w:styleId="710">
    <w:name w:val="Footer Char"/>
    <w:basedOn w:val="856"/>
    <w:link w:val="870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1">
    <w:name w:val="Balloon Text"/>
    <w:basedOn w:val="855"/>
    <w:link w:val="862"/>
    <w:uiPriority w:val="99"/>
    <w:semiHidden/>
    <w:unhideWhenUsed/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6"/>
    <w:link w:val="8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3" w:customStyle="1">
    <w:name w:val="Верхний колонтитул Знак"/>
    <w:basedOn w:val="856"/>
    <w:link w:val="864"/>
    <w:uiPriority w:val="99"/>
  </w:style>
  <w:style w:type="paragraph" w:styleId="864">
    <w:name w:val="Header"/>
    <w:basedOn w:val="855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66">
    <w:name w:val="Table Grid"/>
    <w:basedOn w:val="8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7">
    <w:name w:val="Hyperlink"/>
    <w:basedOn w:val="856"/>
    <w:unhideWhenUsed/>
    <w:rPr>
      <w:color w:val="0000ff"/>
      <w:u w:val="single"/>
    </w:rPr>
  </w:style>
  <w:style w:type="paragraph" w:styleId="86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9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70">
    <w:name w:val="Footer"/>
    <w:basedOn w:val="855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6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7</cp:revision>
  <dcterms:created xsi:type="dcterms:W3CDTF">2023-06-21T10:13:00Z</dcterms:created>
  <dcterms:modified xsi:type="dcterms:W3CDTF">2025-05-20T08:20:43Z</dcterms:modified>
</cp:coreProperties>
</file>