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08</w:t>
      </w:r>
      <w:r>
        <w:rPr>
          <w:rFonts w:ascii="Times New Roman" w:hAnsi="Times New Roman"/>
          <w:sz w:val="28"/>
          <w:szCs w:val="28"/>
        </w:rPr>
        <w:t xml:space="preserve">.200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 xml:space="preserve">240</w:t>
      </w:r>
      <w:r>
        <w:rPr>
          <w:rFonts w:ascii="Times New Roman" w:hAnsi="Times New Roman"/>
          <w:sz w:val="28"/>
          <w:szCs w:val="28"/>
        </w:rPr>
        <w:t xml:space="preserve">-па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 о с т а н о в л я е т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Новосибирской области от 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240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заключения договора купли-продажи лесных насаждений для собственных нужд граждан на территории Новосибирской области</w:t>
      </w:r>
      <w:r>
        <w:rPr>
          <w:sz w:val="28"/>
          <w:szCs w:val="28"/>
        </w:rPr>
        <w:t xml:space="preserve">»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В </w:t>
      </w:r>
      <w:r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слова «Лещенко Е.М.» заменить словами «Шинделова А.В.»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 xml:space="preserve">заключения договора купли-продажи лесных насаждений для собственных нужд граждан на территории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пункт 15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«15.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товка древесины для собственных нужд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договору купли-продажи лесных насаждений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осуществляется гражданином посредством привлечения подрядной организации, включенной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Перечень лесохозяйственных организаций, заготавливающих древесину по договору купли-продажи лесных насаждений (далее – подрядная организация).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Заготовка древесины для собственных нужд осуществляется в соответствии с </w:t>
      </w:r>
      <w:hyperlink r:id="rId9" w:tooltip="https://login.consultant.ru/link/?req=doc&amp;base=LAW&amp;n=433120&amp;dst=100010&amp;field=134&amp;date=15.01.2025" w:history="1">
        <w:r>
          <w:rPr>
            <w:rStyle w:val="816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u w:val="none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заготовки древесины и особенностями заготовки древесины в лесничествах, указанных в статье 23 Лесного кодекса Российской Федерации, утвержденными приказом Министерства природных ресурсов и экологии Российской Федерации от 01.12.2020 № 993 «Об утверждении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Правил заготовки дре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весины и особенностей заготовки древесины в лесничествах, указанных в статье 23 Лесного кодекса Российской Федерации».»;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дополнить пункта</w:t>
      </w:r>
      <w:r>
        <w:rPr>
          <w:sz w:val="28"/>
          <w:szCs w:val="28"/>
          <w:highlight w:val="white"/>
        </w:rPr>
        <w:t xml:space="preserve">ми 1</w:t>
      </w:r>
      <w:r>
        <w:rPr>
          <w:sz w:val="28"/>
          <w:szCs w:val="28"/>
          <w:highlight w:val="white"/>
        </w:rPr>
        <w:t xml:space="preserve">6-</w:t>
      </w:r>
      <w:r>
        <w:rPr>
          <w:sz w:val="28"/>
          <w:szCs w:val="28"/>
          <w:highlight w:val="white"/>
        </w:rPr>
        <w:t xml:space="preserve">19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«16.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 Ведение Перечня лесохозяйственных организаций,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уполномоченных заготавливать древесину по договору купли-продажи лесных насаждений (далее – Перечень)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осуществляется министерством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родных ресурсов и экологии Новосибирской области.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Перечень входят организации, осуществляющие на территории Новосибирской области: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1) заготовку древесины в случае, определенном в статье 19 Лесного кодекса Российской Федерации;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заготовку древесины в порядке, предусмотренном статьей 29.1 Лесного кодекса Российской Федерации;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3) заготовку древесины по иным основаниям, предусмотренным Лесным кодексом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размещается на своем официальном сайте министерства природных ресурсов и экологии Новосибирской области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информационно-телекоммуникационной сети Интернет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Подрядная организация желающая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заготавливать гражданам древесину по договору купли-продажи лесных насаждений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направляет в отдел лесных отношений по лесничеству министерства природных ресурсов и экологии Новосибирской области, на территории которого планирует осуществлять такую заготовку, уведомление, подготовленное в свободной форме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17. Гражданин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осле получения заключенного договора купли-продажи лесных насаждений направляет в подрядную организацию заявление о заготовке древесины для собственных нужд по договору купли-продажи лесных насаждений, по форме согласно приложению № 1 к настоящему Порядку.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Гражданин к заявлению о заготовке древесины для собственных нужд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 договору купли-продажи лесных насаждений прилагает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следующие документы: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1) копию договора купли-продажи лесных насаждений;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 копия документа, подтверждающего оплату услуг по заготовке древесины.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18. Размер платы за заготовку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гражданину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древесины по договору купли-продажи лесных насаждений подрядной организацией устанавливается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областным исполнительным органом государственной власти Новосибирской области, осуществляющим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19. Подрядная организация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ежеквартально до 10 числа месяца, следующего за отчетным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(нарастающим итогом) предоставляет списки граждан, которым была заготовлена древесина дл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я собственных нужд по договору купли-продажи лесных насаждений, по форме согласно Приложению № 2 к настоящему Порядку.»;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дополнить приложением № 1, согласно приложению № 1 к настоящему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дополнить приложением № 2, согласно приложению № 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  <w:tab/>
        <w:tab/>
        <w:tab/>
        <w:tab/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  <w:t xml:space="preserve">Е</w:t>
      </w:r>
      <w:r>
        <w:rPr>
          <w:sz w:val="20"/>
        </w:rPr>
        <w:t xml:space="preserve">.</w:t>
      </w:r>
      <w:r>
        <w:rPr>
          <w:sz w:val="20"/>
        </w:rPr>
        <w:t xml:space="preserve">А</w:t>
      </w:r>
      <w:r>
        <w:rPr>
          <w:sz w:val="20"/>
        </w:rPr>
        <w:t xml:space="preserve">. </w:t>
      </w:r>
      <w:r>
        <w:rPr>
          <w:sz w:val="20"/>
        </w:rPr>
        <w:t xml:space="preserve">Шестернин</w:t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  <w:t xml:space="preserve">2</w:t>
      </w:r>
      <w:r>
        <w:rPr>
          <w:sz w:val="20"/>
        </w:rPr>
        <w:t xml:space="preserve">96</w:t>
      </w:r>
      <w:r>
        <w:rPr>
          <w:sz w:val="20"/>
        </w:rPr>
        <w:t xml:space="preserve"> </w:t>
      </w:r>
      <w:r>
        <w:rPr>
          <w:sz w:val="20"/>
        </w:rPr>
        <w:t xml:space="preserve">51</w:t>
      </w:r>
      <w:r>
        <w:rPr>
          <w:sz w:val="20"/>
        </w:rPr>
        <w:t xml:space="preserve"> </w:t>
      </w:r>
      <w:r>
        <w:rPr>
          <w:sz w:val="20"/>
        </w:rPr>
        <w:t xml:space="preserve">70</w:t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851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551"/>
        <w:gridCol w:w="297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А.В. Шинделов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4"/>
              <w:jc w:val="both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Т.Н.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Шестернин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правового, кадрового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документационного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министерства природных ресурсов и экологии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</w:t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Гаенко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С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Щербатых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296 51 5</w:t>
      </w:r>
      <w:r>
        <w:rPr>
          <w:rFonts w:ascii="Times New Roman" w:hAnsi="Times New Roman"/>
          <w:sz w:val="20"/>
          <w:szCs w:val="20"/>
        </w:rPr>
        <w:t xml:space="preserve">9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unhideWhenUsed/>
  </w:style>
  <w:style w:type="table" w:styleId="836">
    <w:name w:val="Обычная таблица"/>
    <w:next w:val="836"/>
    <w:link w:val="834"/>
    <w:uiPriority w:val="99"/>
    <w:semiHidden/>
    <w:unhideWhenUsed/>
    <w:qFormat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ConsPlusNormal"/>
    <w:next w:val="838"/>
    <w:link w:val="834"/>
    <w:pPr>
      <w:widowControl w:val="off"/>
    </w:pPr>
    <w:rPr>
      <w:rFonts w:eastAsia="Times New Roman"/>
      <w:sz w:val="24"/>
      <w:lang w:val="ru-RU" w:eastAsia="ru-RU" w:bidi="ar-SA"/>
    </w:rPr>
  </w:style>
  <w:style w:type="paragraph" w:styleId="839">
    <w:name w:val="ConsPlusTitle"/>
    <w:next w:val="839"/>
    <w:link w:val="834"/>
    <w:uiPriority w:val="9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840">
    <w:name w:val="Абзац списка"/>
    <w:basedOn w:val="834"/>
    <w:next w:val="840"/>
    <w:link w:val="834"/>
    <w:uiPriority w:val="34"/>
    <w:qFormat/>
    <w:pPr>
      <w:contextualSpacing/>
      <w:ind w:left="720"/>
    </w:pPr>
  </w:style>
  <w:style w:type="paragraph" w:styleId="841">
    <w:name w:val="Без интервала"/>
    <w:next w:val="841"/>
    <w:link w:val="834"/>
    <w:uiPriority w:val="1"/>
    <w:qFormat/>
    <w:pPr>
      <w:ind w:firstLine="851"/>
      <w:jc w:val="both"/>
    </w:pPr>
    <w:rPr>
      <w:rFonts w:ascii="Calibri" w:hAnsi="Calibri" w:eastAsia="Times New Roman"/>
      <w:sz w:val="22"/>
      <w:szCs w:val="22"/>
      <w:lang w:val="ru-RU" w:eastAsia="en-US" w:bidi="ar-SA"/>
    </w:rPr>
  </w:style>
  <w:style w:type="paragraph" w:styleId="842">
    <w:name w:val="Верхний колонтитул"/>
    <w:basedOn w:val="834"/>
    <w:next w:val="842"/>
    <w:link w:val="843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43">
    <w:name w:val="Верхний колонтитул Знак"/>
    <w:next w:val="843"/>
    <w:link w:val="842"/>
    <w:uiPriority w:val="99"/>
    <w:rPr>
      <w:rFonts w:ascii="Calibri" w:hAnsi="Calibri" w:eastAsia="Times New Roman"/>
      <w:sz w:val="22"/>
      <w:szCs w:val="22"/>
      <w:lang w:eastAsia="en-US"/>
    </w:rPr>
  </w:style>
  <w:style w:type="paragraph" w:styleId="844">
    <w:name w:val="Текст выноски"/>
    <w:basedOn w:val="834"/>
    <w:next w:val="844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>
    <w:name w:val="Текст выноски Знак"/>
    <w:next w:val="845"/>
    <w:link w:val="844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33120&amp;dst=100010&amp;field=134&amp;date=15.01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revision>21</cp:revision>
  <dcterms:created xsi:type="dcterms:W3CDTF">2022-08-12T09:38:00Z</dcterms:created>
  <dcterms:modified xsi:type="dcterms:W3CDTF">2025-02-20T08:44:32Z</dcterms:modified>
  <cp:version>983040</cp:version>
</cp:coreProperties>
</file>