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ПРИРОДНЫХ РЕСУРСОВ И ЭКОЛОГИИ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«</w:t>
      </w:r>
      <w:r>
        <w:rPr>
          <w:rFonts w:ascii="Times New Roman" w:hAnsi="Times New Roman" w:cs="Times New Roman"/>
          <w:sz w:val="28"/>
          <w:szCs w:val="27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7"/>
        </w:rPr>
        <w:t xml:space="preserve">с</w:t>
      </w:r>
      <w:r>
        <w:rPr>
          <w:rFonts w:ascii="Times New Roman" w:hAnsi="Times New Roman" w:cs="Times New Roman"/>
          <w:sz w:val="28"/>
          <w:szCs w:val="27"/>
        </w:rPr>
        <w:t xml:space="preserve">хемы размещения, использования и охраны </w:t>
      </w: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 w:cs="Times New Roman"/>
          <w:sz w:val="28"/>
          <w:szCs w:val="27"/>
        </w:rPr>
      </w:r>
    </w:p>
    <w:p>
      <w:pPr>
        <w:pStyle w:val="874"/>
        <w:jc w:val="center"/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охотн</w:t>
      </w:r>
      <w:r>
        <w:rPr>
          <w:rFonts w:ascii="Times New Roman" w:hAnsi="Times New Roman" w:cs="Times New Roman"/>
          <w:sz w:val="28"/>
          <w:szCs w:val="27"/>
        </w:rPr>
        <w:t xml:space="preserve">и</w:t>
      </w:r>
      <w:r>
        <w:rPr>
          <w:rFonts w:ascii="Times New Roman" w:hAnsi="Times New Roman" w:cs="Times New Roman"/>
          <w:sz w:val="28"/>
          <w:szCs w:val="27"/>
        </w:rPr>
        <w:t xml:space="preserve">чьих угодий на территории Новосибирской области</w:t>
      </w:r>
      <w:r>
        <w:rPr>
          <w:rFonts w:ascii="Times New Roman" w:hAnsi="Times New Roman" w:cs="Times New Roman"/>
          <w:sz w:val="28"/>
          <w:szCs w:val="27"/>
        </w:rPr>
        <w:t xml:space="preserve">»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 w:cs="Times New Roman"/>
          <w:sz w:val="28"/>
          <w:szCs w:val="27"/>
        </w:rPr>
      </w:r>
    </w:p>
    <w:p>
      <w:pPr>
        <w:pStyle w:val="874"/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 w:cs="Times New Roman"/>
          <w:sz w:val="28"/>
          <w:szCs w:val="27"/>
        </w:rPr>
      </w:r>
    </w:p>
    <w:p>
      <w:pPr>
        <w:pStyle w:val="874"/>
        <w:ind w:firstLine="709"/>
        <w:jc w:val="both"/>
        <w:spacing w:after="0" w:line="240" w:lineRule="auto"/>
        <w:tabs>
          <w:tab w:val="left" w:pos="720" w:leader="none"/>
        </w:tabs>
      </w:pPr>
      <w:r>
        <w:rPr>
          <w:rFonts w:ascii="Times New Roman" w:hAnsi="Times New Roman" w:cs="Times New Roman"/>
          <w:sz w:val="28"/>
          <w:szCs w:val="27"/>
        </w:rPr>
        <w:t xml:space="preserve">Проект </w:t>
      </w:r>
      <w:r>
        <w:rPr>
          <w:rFonts w:ascii="Times New Roman" w:hAnsi="Times New Roman" w:cs="Times New Roman"/>
          <w:sz w:val="28"/>
          <w:szCs w:val="27"/>
        </w:rPr>
        <w:t xml:space="preserve">постановления Губернатора Новосибирской области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«Об утверждении схемы размещения, использования и охраны</w:t>
      </w:r>
      <w:r>
        <w:rPr>
          <w:rFonts w:ascii="Times New Roman" w:hAnsi="Times New Roman" w:cs="Times New Roman"/>
          <w:sz w:val="28"/>
          <w:szCs w:val="27"/>
        </w:rPr>
        <w:t xml:space="preserve"> охотничьих угодий на территории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разработан в</w:t>
      </w:r>
      <w:r>
        <w:rPr>
          <w:rFonts w:ascii="Times New Roman" w:hAnsi="Times New Roman" w:cs="Times New Roman"/>
          <w:sz w:val="28"/>
          <w:szCs w:val="27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7"/>
        </w:rPr>
        <w:t xml:space="preserve">с требованиями пункта 1 статьи 34, части</w:t>
      </w:r>
      <w:r>
        <w:rPr>
          <w:rFonts w:ascii="Times New Roman" w:hAnsi="Times New Roman" w:cs="Times New Roman"/>
          <w:sz w:val="28"/>
          <w:szCs w:val="27"/>
        </w:rPr>
        <w:t xml:space="preserve"> 8 статьи 39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Федерального закона от 24.07.2009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№ 209-ФЗ </w:t>
      </w:r>
      <w:r>
        <w:rPr>
          <w:rFonts w:ascii="Times New Roman" w:hAnsi="Times New Roman" w:cs="Times New Roman"/>
          <w:sz w:val="28"/>
          <w:szCs w:val="27"/>
        </w:rPr>
        <w:t xml:space="preserve">«Об охоте и о сохранении охотничьих ресурсов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7"/>
        </w:rPr>
        <w:t xml:space="preserve"> (далее – Закон об охоте)</w:t>
      </w:r>
      <w:r>
        <w:rPr>
          <w:rFonts w:ascii="Times New Roman" w:hAnsi="Times New Roman" w:cs="Times New Roman"/>
          <w:sz w:val="28"/>
          <w:szCs w:val="27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 1 части 1 статьи 5 </w:t>
      </w:r>
      <w:r>
        <w:rPr>
          <w:rFonts w:ascii="Times New Roman" w:hAnsi="Times New Roman"/>
          <w:sz w:val="28"/>
          <w:szCs w:val="28"/>
        </w:rPr>
        <w:t xml:space="preserve">Закона Новосибирской области от 06.10.2010 № 531-ОЗ «Об охоте и сохранении охотничьих ресурсов на территории Новосибирской области»</w:t>
      </w:r>
      <w:r>
        <w:rPr>
          <w:rFonts w:ascii="Times New Roman" w:hAnsi="Times New Roman"/>
          <w:sz w:val="28"/>
          <w:szCs w:val="28"/>
        </w:rPr>
        <w:t xml:space="preserve">, Порядком составления схемы размещения, использования и охраны охотничьих угодий на территории субъекта Российской Федерации,</w:t>
      </w:r>
      <w:r>
        <w:rPr>
          <w:rFonts w:ascii="Times New Roman" w:hAnsi="Times New Roman"/>
          <w:sz w:val="28"/>
          <w:szCs w:val="28"/>
        </w:rPr>
        <w:t xml:space="preserve"> а также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ее составу и структуре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приказом </w:t>
      </w:r>
      <w:r>
        <w:rPr>
          <w:rFonts w:ascii="Times New Roman" w:hAnsi="Times New Roman"/>
          <w:sz w:val="28"/>
          <w:szCs w:val="28"/>
        </w:rPr>
        <w:t xml:space="preserve">Минприроды России</w:t>
      </w:r>
      <w:r>
        <w:rPr>
          <w:rFonts w:ascii="Times New Roman" w:hAnsi="Times New Roman"/>
          <w:sz w:val="28"/>
          <w:szCs w:val="28"/>
        </w:rPr>
        <w:t xml:space="preserve"> от 31.08.2010 № 335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7"/>
          <w:highlight w:val="none"/>
        </w:rPr>
      </w:r>
      <w:r>
        <w:rPr>
          <w:rFonts w:ascii="Times New Roman" w:hAnsi="Times New Roman" w:eastAsia="Calibri" w:cs="Times New Roman"/>
          <w:sz w:val="28"/>
          <w:szCs w:val="27"/>
        </w:rPr>
        <w:t xml:space="preserve">Схема </w:t>
      </w:r>
      <w:r>
        <w:rPr>
          <w:rFonts w:ascii="Times New Roman" w:hAnsi="Times New Roman" w:cs="Times New Roman"/>
          <w:sz w:val="28"/>
          <w:szCs w:val="27"/>
        </w:rPr>
        <w:t xml:space="preserve">размещения, использования и охраны охотн</w:t>
      </w:r>
      <w:r>
        <w:rPr>
          <w:rFonts w:ascii="Times New Roman" w:hAnsi="Times New Roman" w:cs="Times New Roman"/>
          <w:sz w:val="28"/>
          <w:szCs w:val="27"/>
        </w:rPr>
        <w:t xml:space="preserve">и</w:t>
      </w:r>
      <w:r>
        <w:rPr>
          <w:rFonts w:ascii="Times New Roman" w:hAnsi="Times New Roman" w:cs="Times New Roman"/>
          <w:sz w:val="28"/>
          <w:szCs w:val="27"/>
        </w:rPr>
        <w:t xml:space="preserve">чьих угодий (далее </w:t>
      </w:r>
      <w:r>
        <w:rPr>
          <w:rFonts w:ascii="Times New Roman" w:hAnsi="Times New Roman" w:cs="Times New Roman"/>
          <w:color w:val="000000"/>
          <w:sz w:val="28"/>
          <w:szCs w:val="27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7"/>
        </w:rPr>
        <w:t xml:space="preserve"> Схема)</w:t>
      </w:r>
      <w:r>
        <w:rPr>
          <w:rFonts w:ascii="Times New Roman" w:hAnsi="Times New Roman" w:cs="Times New Roman"/>
          <w:color w:val="000000"/>
          <w:sz w:val="28"/>
          <w:szCs w:val="27"/>
          <w:highlight w:val="none"/>
        </w:rPr>
        <w:t xml:space="preserve"> является документом территориального охотустройства, осуществляемого в целях планирования в области охоты и сохранения охотничьих ресурсов и направленного на обеспечение рационального использования и сохранения охотничьих ресурсов и осуществления видо</w:t>
      </w:r>
      <w:r>
        <w:rPr>
          <w:rFonts w:ascii="Times New Roman" w:hAnsi="Times New Roman" w:cs="Times New Roman"/>
          <w:color w:val="000000"/>
          <w:sz w:val="28"/>
          <w:szCs w:val="27"/>
          <w:highlight w:val="none"/>
        </w:rPr>
        <w:t xml:space="preserve">в деятельности в сфере охотничьего хозяйства на территории Новосибирской области.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874"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7"/>
        </w:rPr>
        <w:t xml:space="preserve">Схема</w:t>
      </w:r>
      <w:r>
        <w:rPr>
          <w:rFonts w:ascii="Times New Roman" w:hAnsi="Times New Roman" w:cs="Times New Roman"/>
          <w:sz w:val="28"/>
          <w:szCs w:val="27"/>
        </w:rPr>
        <w:t xml:space="preserve"> на территории</w:t>
      </w:r>
      <w:r>
        <w:rPr>
          <w:rFonts w:ascii="Times New Roman" w:hAnsi="Times New Roman" w:eastAsia="Calibri" w:cs="Times New Roman"/>
          <w:sz w:val="28"/>
          <w:szCs w:val="27"/>
        </w:rPr>
        <w:t xml:space="preserve"> субъекта Российской Федерации утверждается высшим дол</w:t>
      </w:r>
      <w:r>
        <w:rPr>
          <w:rFonts w:ascii="Times New Roman" w:hAnsi="Times New Roman" w:eastAsia="Calibri" w:cs="Times New Roman"/>
          <w:sz w:val="28"/>
          <w:szCs w:val="27"/>
        </w:rPr>
        <w:t xml:space="preserve">ж</w:t>
      </w:r>
      <w:r>
        <w:rPr>
          <w:rFonts w:ascii="Times New Roman" w:hAnsi="Times New Roman" w:eastAsia="Calibri" w:cs="Times New Roman"/>
          <w:sz w:val="28"/>
          <w:szCs w:val="27"/>
        </w:rPr>
        <w:t xml:space="preserve">ностным лицом субъекта Российской Федерации (руководителем высшего исполнительного органа государственной власти субъекта Российской Фед</w:t>
      </w:r>
      <w:r>
        <w:rPr>
          <w:rFonts w:ascii="Times New Roman" w:hAnsi="Times New Roman" w:eastAsia="Calibri" w:cs="Times New Roman"/>
          <w:sz w:val="28"/>
          <w:szCs w:val="27"/>
        </w:rPr>
        <w:t xml:space="preserve">е</w:t>
      </w:r>
      <w:r>
        <w:rPr>
          <w:rFonts w:ascii="Times New Roman" w:hAnsi="Times New Roman" w:eastAsia="Calibri" w:cs="Times New Roman"/>
          <w:sz w:val="28"/>
          <w:szCs w:val="27"/>
        </w:rPr>
        <w:t xml:space="preserve">рации) и </w:t>
      </w:r>
      <w:r>
        <w:rPr>
          <w:rFonts w:ascii="Times New Roman" w:hAnsi="Times New Roman" w:eastAsia="Calibri" w:cs="Times New Roman"/>
          <w:sz w:val="28"/>
          <w:szCs w:val="27"/>
        </w:rPr>
        <w:t xml:space="preserve">составляется на 10 лет.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87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7"/>
        </w:rPr>
        <w:t xml:space="preserve">Согласование Схемы с уполномоченным федеральным органом исполнительной власти не требуется.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  <w:highlight w:val="none"/>
        </w:rPr>
      </w:r>
      <w:r>
        <w:rPr>
          <w:rFonts w:ascii="Times New Roman" w:hAnsi="Times New Roman" w:cs="Times New Roman"/>
          <w:sz w:val="28"/>
          <w:szCs w:val="27"/>
          <w:highlight w:val="none"/>
        </w:rPr>
        <w:t xml:space="preserve">По истечении срока действия Схемы, утвержденной </w:t>
      </w:r>
      <w:r>
        <w:rPr>
          <w:rFonts w:ascii="Times New Roman" w:hAnsi="Times New Roman" w:cs="Times New Roman"/>
          <w:sz w:val="28"/>
          <w:szCs w:val="27"/>
          <w:highlight w:val="none"/>
        </w:rPr>
        <w:t xml:space="preserve">постановлением Губернатора Новосибирской области от 24.07.2014 № 119 «Об утверждении схемы размещения, использования и охраны охотничьих угодий на территории Новосибирской области»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разработан</w:t>
      </w:r>
      <w:r>
        <w:rPr>
          <w:rFonts w:ascii="Times New Roman" w:hAnsi="Times New Roman" w:cs="Times New Roman"/>
          <w:color w:val="000000"/>
          <w:sz w:val="28"/>
          <w:szCs w:val="27"/>
          <w:highlight w:val="none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новая Схема</w:t>
      </w:r>
      <w:r>
        <w:rPr>
          <w:rFonts w:ascii="Times New Roman" w:hAnsi="Times New Roman" w:cs="Times New Roman"/>
          <w:color w:val="000000"/>
          <w:sz w:val="28"/>
          <w:szCs w:val="27"/>
          <w:highlight w:val="none"/>
        </w:rPr>
        <w:t xml:space="preserve"> на основании материалов, полученных в ходе исполнения государственного контракта от 01.07.2024 № 0851200000624003412 на выполнение научно-исследовательской работы по разработке Схемы</w:t>
      </w:r>
      <w:r>
        <w:rPr>
          <w:rFonts w:ascii="Times New Roman" w:hAnsi="Times New Roman" w:cs="Times New Roman"/>
          <w:color w:val="000000"/>
          <w:sz w:val="28"/>
          <w:szCs w:val="27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 отсутствие Схемы невозможно </w:t>
      </w:r>
      <w:r>
        <w:rPr>
          <w:rFonts w:ascii="Times New Roman" w:hAnsi="Times New Roman" w:cs="Times New Roman"/>
          <w:sz w:val="28"/>
          <w:szCs w:val="27"/>
        </w:rPr>
        <w:t xml:space="preserve">внесение сведений о границах общедоступных охотничьих угодий в реестр границ ЕГРН </w:t>
      </w:r>
      <w:r>
        <w:rPr>
          <w:rFonts w:ascii="Times New Roman" w:hAnsi="Times New Roman" w:cs="Times New Roman"/>
          <w:sz w:val="28"/>
          <w:szCs w:val="27"/>
        </w:rPr>
        <w:t xml:space="preserve">на основании части 1 статьи 10 </w:t>
      </w:r>
      <w:r>
        <w:rPr>
          <w:rFonts w:ascii="Times New Roman" w:hAnsi="Times New Roman" w:cs="Times New Roman"/>
          <w:sz w:val="28"/>
          <w:szCs w:val="27"/>
        </w:rPr>
        <w:t xml:space="preserve">Федерального закона от 13.07.2015 № 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7"/>
        </w:rPr>
        <w:t xml:space="preserve">, созда</w:t>
      </w:r>
      <w:r>
        <w:rPr>
          <w:rFonts w:ascii="Times New Roman" w:hAnsi="Times New Roman" w:cs="Times New Roman"/>
          <w:sz w:val="28"/>
          <w:szCs w:val="27"/>
        </w:rPr>
        <w:t xml:space="preserve">ние</w:t>
      </w:r>
      <w:r>
        <w:rPr>
          <w:rFonts w:ascii="Times New Roman" w:hAnsi="Times New Roman" w:cs="Times New Roman"/>
          <w:sz w:val="28"/>
          <w:szCs w:val="27"/>
        </w:rPr>
        <w:t xml:space="preserve"> зон охраны охотничьих ресурсов, в которых их использование будет ограничено,</w:t>
      </w:r>
      <w:r>
        <w:rPr>
          <w:rFonts w:ascii="Times New Roman" w:hAnsi="Times New Roman" w:cs="Times New Roman"/>
          <w:sz w:val="28"/>
          <w:szCs w:val="27"/>
        </w:rPr>
        <w:t xml:space="preserve"> создание зон планируемых охотничьих угодий, </w:t>
      </w:r>
      <w:r>
        <w:rPr>
          <w:rFonts w:ascii="Times New Roman" w:hAnsi="Times New Roman" w:cs="Times New Roman"/>
          <w:sz w:val="28"/>
          <w:szCs w:val="27"/>
        </w:rPr>
        <w:t xml:space="preserve">с</w:t>
      </w:r>
      <w:r>
        <w:rPr>
          <w:rFonts w:ascii="Times New Roman" w:hAnsi="Times New Roman" w:cs="Times New Roman"/>
          <w:sz w:val="28"/>
          <w:szCs w:val="27"/>
        </w:rPr>
        <w:t xml:space="preserve">оздание карты-схемы административного деления территории Новосибирской области с указанием границ охотничьих угодий, особо охраняемых природных территорий, зеленых зон вокруг населенных пунктов и других территорий, имеющих ограничение для осуществления охо</w:t>
      </w:r>
      <w:r>
        <w:rPr>
          <w:rFonts w:ascii="Times New Roman" w:hAnsi="Times New Roman" w:cs="Times New Roman"/>
          <w:sz w:val="28"/>
          <w:szCs w:val="27"/>
        </w:rPr>
        <w:t xml:space="preserve">ты и ведения охотничьего хозяйства</w:t>
      </w:r>
      <w:r>
        <w:rPr>
          <w:rFonts w:ascii="Times New Roman" w:hAnsi="Times New Roman" w:cs="Times New Roman"/>
          <w:sz w:val="28"/>
          <w:szCs w:val="27"/>
        </w:rPr>
        <w:t xml:space="preserve">, созда</w:t>
      </w:r>
      <w:r>
        <w:rPr>
          <w:rFonts w:ascii="Times New Roman" w:hAnsi="Times New Roman" w:cs="Times New Roman"/>
          <w:sz w:val="28"/>
          <w:szCs w:val="27"/>
        </w:rPr>
        <w:t xml:space="preserve">ние </w:t>
      </w:r>
      <w:r>
        <w:rPr>
          <w:rFonts w:ascii="Times New Roman" w:hAnsi="Times New Roman" w:cs="Times New Roman"/>
          <w:sz w:val="28"/>
          <w:szCs w:val="27"/>
        </w:rPr>
        <w:t xml:space="preserve">в охотничьих хозяйствах </w:t>
      </w:r>
      <w:r>
        <w:rPr>
          <w:rFonts w:ascii="Times New Roman" w:hAnsi="Times New Roman" w:cs="Times New Roman"/>
          <w:sz w:val="28"/>
          <w:szCs w:val="27"/>
        </w:rPr>
        <w:t xml:space="preserve">объектов охотничьей инфраструктуры, в том числе с целью</w:t>
      </w:r>
      <w:r>
        <w:rPr>
          <w:rFonts w:ascii="Times New Roman" w:hAnsi="Times New Roman" w:cs="Times New Roman"/>
          <w:sz w:val="28"/>
          <w:szCs w:val="27"/>
        </w:rPr>
        <w:t xml:space="preserve"> разведения охотничьих ресурсов</w:t>
      </w:r>
      <w:r>
        <w:rPr>
          <w:rFonts w:ascii="Times New Roman" w:hAnsi="Times New Roman" w:cs="Times New Roman"/>
          <w:sz w:val="28"/>
          <w:szCs w:val="27"/>
        </w:rPr>
        <w:t xml:space="preserve">, а также увеличение объемов проводимых </w:t>
      </w:r>
      <w:r>
        <w:rPr>
          <w:rFonts w:ascii="Times New Roman" w:hAnsi="Times New Roman" w:cs="Times New Roman"/>
          <w:sz w:val="28"/>
          <w:szCs w:val="27"/>
        </w:rPr>
        <w:t xml:space="preserve">биотехнически</w:t>
      </w:r>
      <w:r>
        <w:rPr>
          <w:rFonts w:ascii="Times New Roman" w:hAnsi="Times New Roman" w:cs="Times New Roman"/>
          <w:sz w:val="28"/>
          <w:szCs w:val="27"/>
        </w:rPr>
        <w:t xml:space="preserve">х</w:t>
      </w:r>
      <w:r>
        <w:rPr>
          <w:rFonts w:ascii="Times New Roman" w:hAnsi="Times New Roman" w:cs="Times New Roman"/>
          <w:sz w:val="28"/>
          <w:szCs w:val="27"/>
        </w:rPr>
        <w:t xml:space="preserve"> мероприяти</w:t>
      </w:r>
      <w:r>
        <w:rPr>
          <w:rFonts w:ascii="Times New Roman" w:hAnsi="Times New Roman" w:cs="Times New Roman"/>
          <w:sz w:val="28"/>
          <w:szCs w:val="27"/>
        </w:rPr>
        <w:t xml:space="preserve">й.</w:t>
      </w: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 w:cs="Times New Roman"/>
          <w:sz w:val="28"/>
          <w:szCs w:val="27"/>
        </w:rPr>
      </w:r>
    </w:p>
    <w:p>
      <w:pPr>
        <w:pStyle w:val="874"/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Наличие Схемы способствует</w:t>
      </w:r>
      <w:r>
        <w:rPr>
          <w:rFonts w:ascii="Times New Roman" w:hAnsi="Times New Roman" w:cs="Times New Roman"/>
          <w:sz w:val="28"/>
          <w:szCs w:val="27"/>
        </w:rPr>
        <w:t xml:space="preserve"> привлечени</w:t>
      </w:r>
      <w:r>
        <w:rPr>
          <w:rFonts w:ascii="Times New Roman" w:hAnsi="Times New Roman" w:cs="Times New Roman"/>
          <w:sz w:val="28"/>
          <w:szCs w:val="27"/>
        </w:rPr>
        <w:t xml:space="preserve">ю</w:t>
      </w:r>
      <w:r>
        <w:rPr>
          <w:rFonts w:ascii="Times New Roman" w:hAnsi="Times New Roman" w:cs="Times New Roman"/>
          <w:sz w:val="28"/>
          <w:szCs w:val="27"/>
        </w:rPr>
        <w:t xml:space="preserve"> инвестиций в охотничье хозяйство, </w:t>
      </w:r>
      <w:r>
        <w:rPr>
          <w:rFonts w:ascii="Times New Roman" w:hAnsi="Times New Roman" w:cs="Times New Roman"/>
          <w:sz w:val="28"/>
          <w:szCs w:val="27"/>
        </w:rPr>
        <w:t xml:space="preserve">путем </w:t>
      </w:r>
      <w:r>
        <w:rPr>
          <w:rFonts w:ascii="Times New Roman" w:hAnsi="Times New Roman" w:cs="Times New Roman"/>
          <w:sz w:val="28"/>
          <w:szCs w:val="27"/>
        </w:rPr>
        <w:t xml:space="preserve">заключ</w:t>
      </w:r>
      <w:r>
        <w:rPr>
          <w:rFonts w:ascii="Times New Roman" w:hAnsi="Times New Roman" w:cs="Times New Roman"/>
          <w:sz w:val="28"/>
          <w:szCs w:val="27"/>
        </w:rPr>
        <w:t xml:space="preserve">ения</w:t>
      </w:r>
      <w:r>
        <w:rPr>
          <w:rFonts w:ascii="Times New Roman" w:hAnsi="Times New Roman" w:cs="Times New Roman"/>
          <w:sz w:val="28"/>
          <w:szCs w:val="27"/>
        </w:rPr>
        <w:t xml:space="preserve"> с юридическими лицами и индивидуальными предпринимателями охотхозяйственны</w:t>
      </w:r>
      <w:r>
        <w:rPr>
          <w:rFonts w:ascii="Times New Roman" w:hAnsi="Times New Roman" w:cs="Times New Roman"/>
          <w:sz w:val="28"/>
          <w:szCs w:val="27"/>
        </w:rPr>
        <w:t xml:space="preserve">х</w:t>
      </w:r>
      <w:r>
        <w:rPr>
          <w:rFonts w:ascii="Times New Roman" w:hAnsi="Times New Roman" w:cs="Times New Roman"/>
          <w:sz w:val="28"/>
          <w:szCs w:val="27"/>
        </w:rPr>
        <w:t xml:space="preserve"> соглашени</w:t>
      </w:r>
      <w:r>
        <w:rPr>
          <w:rFonts w:ascii="Times New Roman" w:hAnsi="Times New Roman" w:cs="Times New Roman"/>
          <w:sz w:val="28"/>
          <w:szCs w:val="27"/>
        </w:rPr>
        <w:t xml:space="preserve">й</w:t>
      </w:r>
      <w:r>
        <w:rPr>
          <w:rFonts w:ascii="Times New Roman" w:hAnsi="Times New Roman" w:cs="Times New Roman"/>
          <w:sz w:val="28"/>
          <w:szCs w:val="27"/>
        </w:rPr>
        <w:t xml:space="preserve">, а также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развитию предпринимательства в сфере охотничьего хозяйства</w:t>
      </w:r>
      <w:r>
        <w:rPr>
          <w:rFonts w:ascii="Times New Roman" w:hAnsi="Times New Roman" w:cs="Times New Roman"/>
          <w:sz w:val="28"/>
          <w:szCs w:val="27"/>
        </w:rPr>
        <w:t xml:space="preserve"> и</w:t>
      </w:r>
      <w:r>
        <w:rPr>
          <w:rFonts w:ascii="Times New Roman" w:hAnsi="Times New Roman" w:cs="Times New Roman"/>
          <w:sz w:val="28"/>
          <w:szCs w:val="27"/>
        </w:rPr>
        <w:t xml:space="preserve"> оказанию услуг в сфере охотничьего хозяйства</w:t>
      </w:r>
      <w:r>
        <w:rPr>
          <w:rFonts w:ascii="Times New Roman" w:hAnsi="Times New Roman" w:cs="Times New Roman"/>
          <w:sz w:val="28"/>
          <w:szCs w:val="27"/>
        </w:rPr>
        <w:t xml:space="preserve">.</w:t>
      </w: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 w:cs="Times New Roman"/>
          <w:sz w:val="28"/>
          <w:szCs w:val="27"/>
        </w:rPr>
      </w:r>
    </w:p>
    <w:p>
      <w:pPr>
        <w:pStyle w:val="889"/>
        <w:ind w:firstLine="709"/>
        <w:jc w:val="both"/>
        <w:spacing w:before="0" w:beforeAutospacing="0" w:after="0" w:afterAutospacing="0"/>
        <w:widowControl w:val="off"/>
      </w:pPr>
      <w:r>
        <w:rPr>
          <w:color w:val="000000"/>
          <w:sz w:val="28"/>
          <w:szCs w:val="28"/>
        </w:rPr>
        <w:t xml:space="preserve">В случае принятия Проекта постановления его реализация не потребует дополнительных финансовых затрат из областного бюджета Новосибирской области.</w:t>
      </w:r>
      <w:r/>
    </w:p>
    <w:p>
      <w:pPr>
        <w:pStyle w:val="889"/>
        <w:ind w:firstLine="709"/>
        <w:jc w:val="both"/>
        <w:spacing w:before="0" w:beforeAutospacing="0" w:after="0" w:afterAutospacing="0"/>
        <w:widowControl w:val="off"/>
      </w:pPr>
      <w:r>
        <w:rPr>
          <w:color w:val="000000"/>
          <w:sz w:val="28"/>
          <w:szCs w:val="28"/>
        </w:rPr>
        <w:t xml:space="preserve">Проект постановления не затрагивает вопросы осуществления предпринимательской и инвестиционной деятельности и не подлежит оценке регулирующего воздействия.</w:t>
      </w:r>
      <w:r/>
    </w:p>
    <w:p>
      <w:pPr>
        <w:pStyle w:val="874"/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7"/>
          <w:highlight w:val="yellow"/>
        </w:rPr>
      </w:pPr>
      <w:r>
        <w:rPr>
          <w:rFonts w:ascii="Times New Roman" w:hAnsi="Times New Roman" w:cs="Times New Roman"/>
          <w:sz w:val="28"/>
          <w:szCs w:val="27"/>
          <w:highlight w:val="none"/>
        </w:rPr>
      </w:r>
      <w:r>
        <w:rPr>
          <w:rFonts w:ascii="Times New Roman" w:hAnsi="Times New Roman" w:cs="Times New Roman"/>
          <w:sz w:val="28"/>
          <w:szCs w:val="27"/>
          <w:highlight w:val="yellow"/>
        </w:rPr>
      </w:r>
      <w:r>
        <w:rPr>
          <w:rFonts w:ascii="Times New Roman" w:hAnsi="Times New Roman" w:cs="Times New Roman"/>
          <w:sz w:val="28"/>
          <w:szCs w:val="27"/>
          <w:highlight w:val="yellow"/>
        </w:rPr>
      </w:r>
    </w:p>
    <w:p>
      <w:pPr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firstLine="709"/>
        <w:jc w:val="both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Е.А. Шестернин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425" w:footer="709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spacing w:after="0" w:line="240" w:lineRule="auto"/>
      <w:shd w:val="clear" w:color="ffffff" w:themeColor="background1" w:fill="ffffff" w:themeFill="background1"/>
      <w:rPr>
        <w:rFonts w:ascii="Times New Roman" w:hAnsi="Times New Roman" w:cs="Times New Roman"/>
        <w:color w:val="auto"/>
        <w:sz w:val="24"/>
      </w:rPr>
    </w:pPr>
    <w:r>
      <w:rPr>
        <w:rFonts w:ascii="Times New Roman" w:hAnsi="Times New Roman" w:cs="Times New Roman"/>
        <w:color w:val="auto"/>
        <w:sz w:val="24"/>
      </w:rPr>
      <w:t xml:space="preserve">2</w:t>
    </w:r>
    <w:r>
      <w:rPr>
        <w:rFonts w:ascii="Times New Roman" w:hAnsi="Times New Roman" w:cs="Times New Roman"/>
        <w:color w:val="auto"/>
        <w:sz w:val="24"/>
      </w:rPr>
    </w:r>
    <w:r>
      <w:rPr>
        <w:rFonts w:ascii="Times New Roman" w:hAnsi="Times New Roman" w:cs="Times New Roman"/>
        <w:color w:val="auto"/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pPr>
      <w:spacing w:after="200" w:line="276" w:lineRule="auto"/>
    </w:pPr>
    <w:rPr>
      <w:rFonts w:eastAsia="Times New Roman" w:cs="Calibri"/>
      <w:sz w:val="22"/>
      <w:szCs w:val="22"/>
      <w:lang w:val="ru-RU" w:eastAsia="ru-RU" w:bidi="ar-SA"/>
    </w:rPr>
  </w:style>
  <w:style w:type="character" w:styleId="875">
    <w:name w:val="Основной шрифт абзаца"/>
    <w:next w:val="875"/>
    <w:link w:val="874"/>
    <w:uiPriority w:val="1"/>
    <w:semiHidden/>
    <w:unhideWhenUsed/>
  </w:style>
  <w:style w:type="table" w:styleId="876">
    <w:name w:val="Обычная таблица"/>
    <w:next w:val="876"/>
    <w:link w:val="874"/>
    <w:uiPriority w:val="99"/>
    <w:semiHidden/>
    <w:unhideWhenUsed/>
    <w:tblPr/>
  </w:style>
  <w:style w:type="numbering" w:styleId="877">
    <w:name w:val="Нет списка"/>
    <w:next w:val="877"/>
    <w:link w:val="874"/>
    <w:uiPriority w:val="99"/>
    <w:semiHidden/>
    <w:unhideWhenUsed/>
  </w:style>
  <w:style w:type="paragraph" w:styleId="878">
    <w:name w:val="ConsPlusTitle"/>
    <w:next w:val="878"/>
    <w:link w:val="874"/>
    <w:uiPriority w:val="99"/>
    <w:pPr>
      <w:widowControl w:val="off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879">
    <w:name w:val="Обычный (веб)"/>
    <w:basedOn w:val="874"/>
    <w:next w:val="879"/>
    <w:link w:val="874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880">
    <w:name w:val="Выделение"/>
    <w:next w:val="880"/>
    <w:link w:val="874"/>
    <w:qFormat/>
    <w:rPr>
      <w:i/>
      <w:iCs/>
    </w:rPr>
  </w:style>
  <w:style w:type="table" w:styleId="881">
    <w:name w:val="Сетка таблицы"/>
    <w:basedOn w:val="876"/>
    <w:next w:val="881"/>
    <w:link w:val="874"/>
    <w:tblPr/>
  </w:style>
  <w:style w:type="paragraph" w:styleId="882">
    <w:name w:val="Верхний колонтитул"/>
    <w:basedOn w:val="874"/>
    <w:next w:val="882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>
    <w:name w:val="Верхний колонтитул Знак"/>
    <w:next w:val="883"/>
    <w:link w:val="882"/>
    <w:uiPriority w:val="99"/>
    <w:rPr>
      <w:rFonts w:eastAsia="Times New Roman" w:cs="Calibri"/>
      <w:sz w:val="22"/>
      <w:szCs w:val="22"/>
    </w:rPr>
  </w:style>
  <w:style w:type="paragraph" w:styleId="884">
    <w:name w:val="Нижний колонтитул"/>
    <w:basedOn w:val="874"/>
    <w:next w:val="884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>
    <w:name w:val="Нижний колонтитул Знак"/>
    <w:next w:val="885"/>
    <w:link w:val="884"/>
    <w:uiPriority w:val="99"/>
    <w:rPr>
      <w:rFonts w:eastAsia="Times New Roman" w:cs="Calibri"/>
      <w:sz w:val="22"/>
      <w:szCs w:val="22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  <w:style w:type="paragraph" w:styleId="889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Wolk Studios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Нарегеев Асхат Мухарович</dc:creator>
  <cp:revision>5</cp:revision>
  <dcterms:created xsi:type="dcterms:W3CDTF">2020-03-11T01:20:00Z</dcterms:created>
  <dcterms:modified xsi:type="dcterms:W3CDTF">2024-11-07T08:29:36Z</dcterms:modified>
  <cp:version>917504</cp:version>
</cp:coreProperties>
</file>