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right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bookmarkStart w:id="0" w:name="_GoBack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right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региональному плану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right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адаптации к изменениям климата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right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right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Результаты оценки климатических рисков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9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(2010 год – 2025 год)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Обобщенная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8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Наименование территории (федеральный округ, субъект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муниципалитет): Новосибирская область.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vertAlign w:val="superscript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Суммарная оценка площади территории, подверженной климатическим рискам опасного, весьма опасного и катастрофического уровня (при наличии)</w:t>
        <w:br/>
      </w:r>
      <w:r>
        <w:rPr>
          <w:rFonts w:ascii="Times New Roman" w:hAnsi="Times New Roman" w:eastAsia="Times New Roman" w:cs="Times New Roman"/>
          <w:b w:val="0"/>
          <w:bCs w:val="0"/>
          <w:color w:val="040c28"/>
          <w:sz w:val="28"/>
          <w:szCs w:val="28"/>
          <w:highlight w:val="white"/>
        </w:rPr>
        <w:t xml:space="preserve">≈</w:t>
      </w:r>
      <w:r>
        <w:rPr>
          <w:rFonts w:ascii="Times New Roman" w:hAnsi="Times New Roman" w:eastAsia="Times New Roman" w:cs="Times New Roman"/>
          <w:b w:val="0"/>
          <w:bCs w:val="0"/>
          <w:color w:val="040c28"/>
          <w:sz w:val="28"/>
          <w:szCs w:val="28"/>
          <w:highlight w:val="white"/>
        </w:rPr>
        <w:t xml:space="preserve"> 177,8 тыс. км.</w:t>
      </w:r>
      <w:r>
        <w:rPr>
          <w:rFonts w:ascii="Times New Roman" w:hAnsi="Times New Roman" w:eastAsia="Times New Roman" w:cs="Times New Roman"/>
          <w:b w:val="0"/>
          <w:bCs w:val="0"/>
          <w:color w:val="040c28"/>
          <w:sz w:val="28"/>
          <w:szCs w:val="28"/>
          <w:highlight w:val="white"/>
          <w:vertAlign w:val="superscript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vertAlign w:val="superscript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климатических рисков территории по уровням опасности (ретроспективная оценка рисков).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540"/>
        <w:jc w:val="center"/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рисков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94"/>
        <w:gridCol w:w="2393"/>
        <w:gridCol w:w="2111"/>
        <w:gridCol w:w="2813"/>
      </w:tblGrid>
      <w:tr>
        <w:tblPrEx/>
        <w:trPr/>
        <w:tc>
          <w:tcPr>
            <w:tcW w:w="1309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Катастрофический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07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Весьма опасный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20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309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07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65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20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8"/>
        <w:ind w:firstLine="540"/>
        <w:jc w:val="center"/>
        <w:spacing w:before="240" w:after="240"/>
      </w:pPr>
      <w:r>
        <w:rPr>
          <w:rFonts w:ascii="Times New Roman" w:hAnsi="Times New Roman" w:cs="Times New Roman"/>
          <w:sz w:val="28"/>
          <w:szCs w:val="28"/>
        </w:rPr>
        <w:t xml:space="preserve">По категориям риска 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5"/>
        <w:gridCol w:w="3269"/>
        <w:gridCol w:w="2365"/>
        <w:gridCol w:w="1161"/>
        <w:gridCol w:w="1213"/>
        <w:gridCol w:w="1328"/>
      </w:tblGrid>
      <w:tr>
        <w:tblPrEx/>
        <w:trPr/>
        <w:tc>
          <w:tcPr>
            <w:tcW w:w="313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pct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77" w:type="pct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Катастрофический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8" w:type="pct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Весьма опасный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68" w:type="pct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1" w:type="pct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3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Подтопление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77" w:type="pct"/>
            <w:textDirection w:val="lrTb"/>
            <w:noWrap w:val="false"/>
          </w:tcPr>
          <w:p>
            <w:r/>
            <w:r/>
          </w:p>
        </w:tc>
        <w:tc>
          <w:tcPr>
            <w:tcW w:w="608" w:type="pct"/>
            <w:textDirection w:val="lrTb"/>
            <w:noWrap w:val="false"/>
          </w:tcPr>
          <w:p>
            <w:r/>
            <w:r/>
          </w:p>
        </w:tc>
        <w:tc>
          <w:tcPr>
            <w:tcW w:w="568" w:type="pct"/>
            <w:textDirection w:val="lrTb"/>
            <w:noWrap w:val="false"/>
          </w:tcPr>
          <w:p>
            <w:r/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3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77" w:type="pct"/>
            <w:textDirection w:val="lrTb"/>
            <w:noWrap w:val="false"/>
          </w:tcPr>
          <w:p>
            <w:r/>
            <w:r/>
          </w:p>
        </w:tc>
        <w:tc>
          <w:tcPr>
            <w:tcW w:w="608" w:type="pct"/>
            <w:textDirection w:val="lrTb"/>
            <w:noWrap w:val="false"/>
          </w:tcPr>
          <w:p>
            <w:r/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1" w:type="pc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13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77" w:type="pct"/>
            <w:textDirection w:val="lrTb"/>
            <w:noWrap w:val="false"/>
          </w:tcPr>
          <w:p>
            <w:r/>
            <w:r/>
          </w:p>
        </w:tc>
        <w:tc>
          <w:tcPr>
            <w:tcW w:w="608" w:type="pct"/>
            <w:textDirection w:val="lrTb"/>
            <w:noWrap w:val="false"/>
          </w:tcPr>
          <w:p>
            <w:r/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1" w:type="pc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13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холодов в вегетационный период (заморозки)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77" w:type="pct"/>
            <w:textDirection w:val="lrTb"/>
            <w:noWrap w:val="false"/>
          </w:tcPr>
          <w:p>
            <w:r/>
            <w:r/>
          </w:p>
        </w:tc>
        <w:tc>
          <w:tcPr>
            <w:tcW w:w="608" w:type="pct"/>
            <w:textDirection w:val="lrTb"/>
            <w:noWrap w:val="false"/>
          </w:tcPr>
          <w:p>
            <w:r/>
            <w:r/>
          </w:p>
        </w:tc>
        <w:tc>
          <w:tcPr>
            <w:tcW w:w="568" w:type="pct"/>
            <w:textDirection w:val="lrTb"/>
            <w:noWrap w:val="false"/>
          </w:tcPr>
          <w:p>
            <w:r/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3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77" w:type="pct"/>
            <w:textDirection w:val="lrTb"/>
            <w:noWrap w:val="false"/>
          </w:tcPr>
          <w:p>
            <w:r/>
            <w:r/>
          </w:p>
        </w:tc>
        <w:tc>
          <w:tcPr>
            <w:tcW w:w="608" w:type="pct"/>
            <w:textDirection w:val="lrTb"/>
            <w:noWrap w:val="false"/>
          </w:tcPr>
          <w:p>
            <w:r/>
            <w:r/>
          </w:p>
        </w:tc>
        <w:tc>
          <w:tcPr>
            <w:tcW w:w="568" w:type="pct"/>
            <w:textDirection w:val="lrTb"/>
            <w:noWrap w:val="false"/>
          </w:tcPr>
          <w:p>
            <w:r/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3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Сильные атмосферные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77" w:type="pct"/>
            <w:textDirection w:val="lrTb"/>
            <w:noWrap w:val="false"/>
          </w:tcPr>
          <w:p>
            <w:r/>
            <w:r/>
          </w:p>
        </w:tc>
        <w:tc>
          <w:tcPr>
            <w:tcW w:w="608" w:type="pct"/>
            <w:textDirection w:val="lrTb"/>
            <w:noWrap w:val="false"/>
          </w:tcPr>
          <w:p>
            <w:r/>
            <w:r/>
          </w:p>
        </w:tc>
        <w:tc>
          <w:tcPr>
            <w:tcW w:w="568" w:type="pct"/>
            <w:textDirection w:val="lrTb"/>
            <w:noWrap w:val="false"/>
          </w:tcPr>
          <w:p>
            <w:r/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3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pct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опасность в лесах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77" w:type="pct"/>
            <w:textDirection w:val="lrTb"/>
            <w:noWrap w:val="false"/>
          </w:tcPr>
          <w:p>
            <w:r/>
            <w:r/>
          </w:p>
        </w:tc>
        <w:tc>
          <w:tcPr>
            <w:tcW w:w="608" w:type="pct"/>
            <w:textDirection w:val="lrTb"/>
            <w:noWrap w:val="false"/>
          </w:tcPr>
          <w:p>
            <w:r/>
            <w:r/>
          </w:p>
        </w:tc>
        <w:tc>
          <w:tcPr>
            <w:tcW w:w="568" w:type="pct"/>
            <w:textDirection w:val="lrTb"/>
            <w:noWrap w:val="false"/>
          </w:tcPr>
          <w:p>
            <w:r/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8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Детализированная информация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8"/>
        <w:ind w:firstLine="540"/>
        <w:jc w:val="center"/>
        <w:spacing w:after="24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Новосибирской области характерны следующие климатические риски: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690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693"/>
        <w:gridCol w:w="3260"/>
      </w:tblGrid>
      <w:tr>
        <w:tblPrEx/>
        <w:trPr/>
        <w:tc>
          <w:tcPr>
            <w:gridSpan w:val="2"/>
            <w:tcW w:w="3968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территории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3968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3968" w:type="dxa"/>
            <w:textDirection w:val="lrTb"/>
            <w:noWrap w:val="false"/>
          </w:tcPr>
          <w:p>
            <w:pPr>
              <w:pStyle w:val="838"/>
              <w:numPr>
                <w:ilvl w:val="0"/>
                <w:numId w:val="1"/>
              </w:numPr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38"/>
              <w:jc w:val="left"/>
              <w:spacing w:after="24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Подверженность территории, %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084"/>
        </w:trPr>
        <w:tc>
          <w:tcPr>
            <w:tcW w:w="425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38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максимальной температуры 0,95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>
              <w:rPr>
                <w:rFonts w:hint="default" w:ascii="Andale Mono" w:hAnsi="Andale Mono" w:eastAsia="Andale Mono" w:cs="Andale Mono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Весьма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3968" w:type="dxa"/>
            <w:textDirection w:val="lrTb"/>
            <w:noWrap w:val="false"/>
          </w:tcPr>
          <w:p>
            <w:pPr>
              <w:pStyle w:val="838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Засуха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Подверженность территории, %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3968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Заморозки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Подверженность территории, %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часов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3968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Подверженность территории,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дней с градом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Диаметр,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3968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Сильные атмосферные осадки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51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Подверженность территории, %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58,2 мм/12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Повторяемость, ед./год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3968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Подтопление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Подверженность территории, %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формирования водоносного горизонта,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подъема уровня подземных вод, м/год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Весьма 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3968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 Пожарная опасность в лесах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left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комплексного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8"/>
        <w:ind w:firstLine="540"/>
        <w:jc w:val="center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firstLine="539"/>
        <w:jc w:val="center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климатических рисков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8"/>
        <w:contextualSpacing/>
        <w:ind w:firstLine="539"/>
        <w:jc w:val="center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Ожидаемые изменения климата по территории в соответствии с прогнозом ФГБУ «</w:t>
      </w:r>
      <w:r>
        <w:rPr>
          <w:rFonts w:ascii="Times New Roman" w:hAnsi="Times New Roman" w:cs="Times New Roman"/>
          <w:sz w:val="28"/>
          <w:szCs w:val="28"/>
        </w:rPr>
        <w:t xml:space="preserve">Западно-Сибирское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по гидрометеорологии и мониторингу окружающей среды».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региона отмечается повышение среднегодовой те</w:t>
      </w:r>
      <w:r>
        <w:rPr>
          <w:rFonts w:ascii="Times New Roman" w:hAnsi="Times New Roman" w:cs="Times New Roman"/>
          <w:sz w:val="28"/>
          <w:szCs w:val="28"/>
        </w:rPr>
        <w:t xml:space="preserve">мпературы относительно базового периода (1961-1990 гг.). Заметно повысилась средняя месячная температура холодного периода - в среднем на 1,8°С. На более ранние сроки смещается дата перехода среднесуточной температуры воздуха через 0°С в сторону повышения.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возможно уменьшение величины гидротермического коэффициента увлажнения Селянинова относительно базового периода в диапазоне от -0,16 до -0,12 ед. в период 2050-2059 гг. и от -0,26 до -0,19 ед. к концу XXI 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указывают на рост засушливости, который буд</w:t>
      </w:r>
      <w:r>
        <w:rPr>
          <w:rFonts w:ascii="Times New Roman" w:hAnsi="Times New Roman" w:cs="Times New Roman"/>
          <w:sz w:val="28"/>
          <w:szCs w:val="28"/>
        </w:rPr>
        <w:t xml:space="preserve">ет сопровождаться уменьшением запасов влаги в почве, вследствие чего в близкой перспективе (2030-2039 гг.) можно ожидать снижения урожайности на -11,7 +/- 3,0%, величина которого к середине века может достигнуть -15,8 +/-5,1% относительно базового периода.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Описание прогнозируемых изменений в распределении климатических рисков территории.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оценочным докладам ФГБУ «</w:t>
      </w:r>
      <w:r>
        <w:rPr>
          <w:rFonts w:ascii="Times New Roman" w:hAnsi="Times New Roman" w:cs="Times New Roman"/>
          <w:sz w:val="28"/>
          <w:szCs w:val="28"/>
        </w:rPr>
        <w:t xml:space="preserve">Западно-Сибирское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по гидрометеорологии и мониторингу окружающ</w:t>
      </w:r>
      <w:r>
        <w:rPr>
          <w:rFonts w:ascii="Times New Roman" w:hAnsi="Times New Roman" w:cs="Times New Roman"/>
          <w:sz w:val="28"/>
          <w:szCs w:val="28"/>
        </w:rPr>
        <w:t xml:space="preserve">ей среды» основными рисками для территории Новосибирской области могут стать дефицит осадков и повышение температуры в летний период, отсутствие условий для формирования половодья и пополнения подземных вод, увеличение количества и интенсивности локальных </w:t>
      </w:r>
      <w:r>
        <w:rPr>
          <w:rFonts w:ascii="Times New Roman" w:hAnsi="Times New Roman" w:cs="Times New Roman"/>
          <w:sz w:val="28"/>
          <w:szCs w:val="28"/>
        </w:rPr>
        <w:t xml:space="preserve">конвективных явлений (крупный град, шквал).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5" w:h="16838" w:orient="portrait"/>
      <w:pgMar w:top="1134" w:right="567" w:bottom="1134" w:left="1417" w:header="454" w:footer="595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ndale Mono">
    <w:panose1 w:val="020B05090000000000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40">
    <w:name w:val="annotation reference"/>
    <w:basedOn w:val="835"/>
    <w:uiPriority w:val="99"/>
    <w:semiHidden/>
    <w:unhideWhenUsed/>
    <w:rPr>
      <w:sz w:val="16"/>
      <w:szCs w:val="16"/>
    </w:rPr>
  </w:style>
  <w:style w:type="paragraph" w:styleId="841">
    <w:name w:val="annotation text"/>
    <w:basedOn w:val="834"/>
    <w:link w:val="8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2" w:customStyle="1">
    <w:name w:val="Текст примечания Знак"/>
    <w:basedOn w:val="835"/>
    <w:link w:val="841"/>
    <w:uiPriority w:val="99"/>
    <w:semiHidden/>
    <w:rPr>
      <w:sz w:val="20"/>
      <w:szCs w:val="20"/>
    </w:rPr>
  </w:style>
  <w:style w:type="paragraph" w:styleId="843">
    <w:name w:val="Balloon Text"/>
    <w:basedOn w:val="834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835"/>
    <w:link w:val="84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E670-2E29-4237-97D4-CA800A11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Меньших Наталья Сергеевна</dc:creator>
  <cp:keywords/>
  <dc:description/>
  <cp:lastModifiedBy>milr@NSO.LOC</cp:lastModifiedBy>
  <cp:revision>8</cp:revision>
  <dcterms:created xsi:type="dcterms:W3CDTF">2023-01-10T01:26:00Z</dcterms:created>
  <dcterms:modified xsi:type="dcterms:W3CDTF">2025-04-22T02:49:01Z</dcterms:modified>
</cp:coreProperties>
</file>