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32"/>
          <w:szCs w:val="32"/>
        </w:rPr>
      </w:pPr>
      <w:r>
        <w:rPr>
          <w:sz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180" cy="65278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0pt;height:51.4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МИНИСТЕРСТВО СЕЛЬСКОГО ХОЗЯЙСТВА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НОВОСИБИРСКОЙ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ПРИКАЗ</w: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tabs>
          <w:tab w:val="left" w:pos="480" w:leader="none"/>
          <w:tab w:val="center" w:pos="5102" w:leader="none"/>
        </w:tabs>
        <w:rPr>
          <w:sz w:val="27"/>
          <w:szCs w:val="27"/>
        </w:rPr>
      </w:pPr>
      <w:r>
        <w:rPr>
          <w:sz w:val="27"/>
          <w:szCs w:val="27"/>
        </w:rPr>
        <w:t xml:space="preserve">____________                                                                                                   № _______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firstLine="709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center"/>
        <w:tabs>
          <w:tab w:val="left" w:pos="38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г. Новосибирск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Об утверждении формы трехстороннего соглашения о предоставлении единовременных выплат из областного бюджета Новосибирской области молодым специалистам принятым в течение года со дня окончания обучения на работу в организации</w:t>
      </w:r>
      <w:r>
        <w:rPr>
          <w:sz w:val="28"/>
          <w:szCs w:val="28"/>
        </w:rPr>
        <w:t xml:space="preserve">, осуществляющие сельскохозяйственное производство в сельской местности Новосибирской области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         Во исполнение </w:t>
      </w:r>
      <w:hyperlink r:id="rId12" w:tooltip="https://login.consultant.ru/link/?req=doc&amp;base=RLAW049&amp;n=165623&amp;dst=100017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пунктов 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, </w:t>
      </w:r>
      <w:hyperlink r:id="rId13" w:tooltip="https://login.consultant.ru/link/?req=doc&amp;base=RLAW049&amp;n=165623&amp;dst=100039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10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Порядка предоставления и размеров единовременных выплат из областного бюджета Новосибирской области молодым специалистам, принятым 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течение года со дня окончания обучения на работу в организации, осуществляющие сельскохозяйственное производство в сельской местности Новосибирской области, утвержденного постановлением Правительства Новосибирской области от 03.03.2020 № 53-п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contextualSpacing/>
        <w:ind w:left="0" w:right="0" w:firstLine="0"/>
        <w:jc w:val="left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 </w:t>
      </w:r>
      <w:r>
        <w:rPr>
          <w:sz w:val="28"/>
          <w:szCs w:val="28"/>
        </w:rPr>
        <w:t xml:space="preserve">Р И К А З Ы В А Ю:</w:t>
      </w:r>
      <w:r>
        <w:rPr>
          <w:sz w:val="28"/>
          <w:szCs w:val="28"/>
        </w:rPr>
      </w:r>
      <w:r/>
    </w:p>
    <w:p>
      <w:pPr>
        <w:contextualSpacing/>
        <w:ind w:left="0" w:right="0" w:firstLine="0"/>
        <w:jc w:val="both"/>
        <w:tabs>
          <w:tab w:val="left" w:pos="709" w:leader="none"/>
        </w:tabs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pPr>
      <w:r>
        <w:t xml:space="preserve">           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1. Утвердить форму трехстороннего  о предоставлении единовременных выплат из областного бюдже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та Новосибирской области молодым специалистам, принятым в течение года со дня окончания обучения на работу в организации, осуществляющие сельскохозяйственное производство в сельской местности Новосибирской области, согласно приложению к настоящему приказу.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contextualSpacing/>
        <w:ind w:left="0" w:right="0" w:firstLine="0"/>
        <w:jc w:val="both"/>
        <w:tabs>
          <w:tab w:val="left" w:pos="709" w:leader="none"/>
        </w:tabs>
        <w:rPr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        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2. </w:t>
      </w:r>
      <w:r>
        <w:rPr>
          <w:sz w:val="28"/>
          <w:szCs w:val="28"/>
        </w:rPr>
        <w:t xml:space="preserve">Приказ министерства сельского хозяйства Новосибирской области от 18.03.2020 № 47-нпа «Об </w:t>
      </w:r>
      <w:r>
        <w:rPr>
          <w:sz w:val="28"/>
          <w:szCs w:val="28"/>
        </w:rPr>
        <w:t xml:space="preserve">утверждении формы трехстороннего соглашения о предоставлении единовременных выплат из областного бюджета Новосибирской области молодым специалистам принятым в течение года со дня окончания обучения на работу в организации</w:t>
      </w:r>
      <w:r>
        <w:rPr>
          <w:sz w:val="28"/>
          <w:szCs w:val="28"/>
        </w:rPr>
        <w:t xml:space="preserve">, осуществляющие сельскохозяйственное производство в сельской местности Новосибирской области» признать утратившим силу.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-283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-283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-283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-28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-28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– 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А.В. Шинделов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С.А. Купреева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238 </w:t>
      </w:r>
      <w:r>
        <w:rPr>
          <w:sz w:val="20"/>
          <w:szCs w:val="20"/>
        </w:rPr>
        <w:t xml:space="preserve">65 68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left="5102" w:right="0" w:firstLine="0"/>
        <w:jc w:val="center"/>
        <w:spacing w:before="0" w:beforeAutospacing="0"/>
        <w:rPr>
          <w:b w:val="0"/>
          <w:bCs w:val="0"/>
          <w:sz w:val="28"/>
          <w:szCs w:val="28"/>
          <w:highlight w:val="none"/>
        </w:rPr>
      </w:pPr>
      <w:r>
        <w:rPr>
          <w:sz w:val="20"/>
          <w:szCs w:val="20"/>
        </w:rPr>
      </w:r>
      <w:r>
        <w:rPr>
          <w:sz w:val="20"/>
          <w:szCs w:val="20"/>
        </w:rPr>
        <w:tab/>
      </w:r>
      <w:r>
        <w:rPr>
          <w:b w:val="0"/>
          <w:bCs w:val="0"/>
          <w:sz w:val="28"/>
          <w:szCs w:val="28"/>
        </w:rPr>
        <w:t xml:space="preserve">УТВЕРЖДЕНА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5386" w:right="0" w:firstLine="0"/>
        <w:jc w:val="center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приказом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сельского хозяйства 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6" w:right="0" w:firstLine="0"/>
        <w:jc w:val="left"/>
        <w:spacing w:before="0" w:beforeAutospacing="0"/>
      </w:pPr>
      <w:r>
        <w:rPr>
          <w:sz w:val="28"/>
          <w:szCs w:val="28"/>
        </w:rPr>
        <w:t xml:space="preserve">    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№ </w:t>
      </w:r>
      <w:r/>
    </w:p>
    <w:p>
      <w:pPr>
        <w:contextualSpacing/>
        <w:ind w:left="5954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sz w:val="20"/>
          <w:szCs w:val="20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jc w:val="left"/>
        <w:tabs>
          <w:tab w:val="left" w:pos="6369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1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-392429</wp:posOffset>
                </wp:positionV>
                <wp:extent cx="251460" cy="205740"/>
                <wp:effectExtent l="0" t="0" r="0" b="0"/>
                <wp:wrapNone/>
                <wp:docPr id="2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146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51658241;o:allowoverlap:true;o:allowincell:true;mso-position-horizontal-relative:text;margin-left:237.50pt;mso-position-horizontal:absolute;mso-position-vertical-relative:text;margin-top:-30.90pt;mso-position-vertical:absolute;width:19.80pt;height:16.20pt;mso-wrap-distance-left:9.00pt;mso-wrap-distance-top:0.00pt;mso-wrap-distance-right:9.00pt;mso-wrap-distance-bottom:0.00pt;visibility:visible;" fillcolor="#FFFFFF" stroked="f"/>
            </w:pict>
          </mc:Fallback>
        </mc:AlternateContent>
      </w:r>
      <w:r>
        <w:rPr>
          <w:b/>
          <w:sz w:val="24"/>
          <w:szCs w:val="24"/>
        </w:rPr>
        <w:t xml:space="preserve">ТРЕХСТОРОННЕЕ СОГЛАШЕНИЕ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1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предоставлении единовременн</w:t>
      </w:r>
      <w:r>
        <w:rPr>
          <w:b/>
          <w:sz w:val="24"/>
          <w:szCs w:val="24"/>
        </w:rPr>
        <w:t xml:space="preserve">ой</w:t>
      </w:r>
      <w:r>
        <w:rPr>
          <w:b/>
          <w:sz w:val="24"/>
          <w:szCs w:val="24"/>
        </w:rPr>
        <w:t xml:space="preserve"> выплат</w:t>
      </w:r>
      <w:r>
        <w:rPr>
          <w:b/>
          <w:sz w:val="24"/>
          <w:szCs w:val="24"/>
        </w:rPr>
        <w:t xml:space="preserve">ы</w:t>
      </w:r>
      <w:r>
        <w:rPr>
          <w:b/>
          <w:sz w:val="24"/>
          <w:szCs w:val="24"/>
        </w:rPr>
        <w:t xml:space="preserve"> из областного бюджета Новосибирской области молод</w:t>
      </w:r>
      <w:r>
        <w:rPr>
          <w:b/>
          <w:sz w:val="24"/>
          <w:szCs w:val="24"/>
        </w:rPr>
        <w:t xml:space="preserve">ым</w:t>
      </w:r>
      <w:r>
        <w:rPr>
          <w:b/>
          <w:sz w:val="24"/>
          <w:szCs w:val="24"/>
        </w:rPr>
        <w:t xml:space="preserve"> специалист</w:t>
      </w:r>
      <w:r>
        <w:rPr>
          <w:b/>
          <w:sz w:val="24"/>
          <w:szCs w:val="24"/>
        </w:rPr>
        <w:t xml:space="preserve">ам, принятым в течение года со дня окончания обучения на работу в организации, осуществляющие сельскохозяйственное производство в сельской местности Новосибирской области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17"/>
        <w:jc w:val="center"/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г. Новосибирск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67"/>
        <w:gridCol w:w="408"/>
        <w:gridCol w:w="284"/>
        <w:gridCol w:w="1843"/>
        <w:gridCol w:w="567"/>
        <w:gridCol w:w="425"/>
        <w:gridCol w:w="3969"/>
        <w:gridCol w:w="425"/>
        <w:gridCol w:w="1843"/>
      </w:tblGrid>
      <w:tr>
        <w:tblPrEx/>
        <w:trPr/>
        <w:tc>
          <w:tcPr>
            <w:tcW w:w="267" w:type="dxa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408" w:type="dxa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4" w:type="dxa"/>
            <w:vAlign w:val="top"/>
            <w:textDirection w:val="lrTb"/>
            <w:noWrap w:val="false"/>
          </w:tcPr>
          <w:p>
            <w:pPr>
              <w:pStyle w:val="7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7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   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7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7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7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7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717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20"/>
        <w:jc w:val="both"/>
        <w:spacing w:before="12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20"/>
        <w:jc w:val="both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Министерство сельского хозяйства Новосибирской области, в лице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61"/>
        <w:gridCol w:w="27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889" w:type="dxa"/>
            <w:vAlign w:val="top"/>
            <w:textDirection w:val="lrTb"/>
            <w:noWrap w:val="false"/>
          </w:tcPr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8" w:type="dxa"/>
            <w:vAlign w:val="top"/>
            <w:textDirection w:val="lrTb"/>
            <w:noWrap w:val="false"/>
          </w:tcPr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717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(должность, Ф.И.О.</w:t>
      </w:r>
      <w:r>
        <w:rPr>
          <w:sz w:val="24"/>
          <w:szCs w:val="24"/>
          <w:vertAlign w:val="superscript"/>
        </w:rPr>
        <w:t xml:space="preserve">-</w:t>
      </w:r>
      <w:r>
        <w:rPr>
          <w:sz w:val="24"/>
          <w:szCs w:val="24"/>
          <w:vertAlign w:val="superscript"/>
        </w:rPr>
        <w:t xml:space="preserve">последнее при наличии</w:t>
      </w:r>
      <w:r>
        <w:rPr>
          <w:sz w:val="24"/>
          <w:szCs w:val="24"/>
          <w:vertAlign w:val="superscript"/>
        </w:rPr>
        <w:t xml:space="preserve">)</w:t>
      </w:r>
      <w:r>
        <w:rPr>
          <w:sz w:val="24"/>
          <w:szCs w:val="24"/>
          <w:vertAlign w:val="superscript"/>
        </w:rPr>
      </w:r>
      <w:r>
        <w:rPr>
          <w:sz w:val="24"/>
          <w:szCs w:val="24"/>
          <w:vertAlign w:val="superscript"/>
        </w:rPr>
      </w:r>
    </w:p>
    <w:p>
      <w:pPr>
        <w:pStyle w:val="7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действующего на основании Положения о министерстве сельского хозяйства Новосибирской области, утвержденного постановлением Правительства Новосибирской области от 01.02.2016 № 9-п, именуемо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в дальнейшем «Министерство»,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61"/>
        <w:gridCol w:w="27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889" w:type="dxa"/>
            <w:vAlign w:val="top"/>
            <w:textDirection w:val="lrTb"/>
            <w:noWrap w:val="false"/>
          </w:tcPr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8" w:type="dxa"/>
            <w:vAlign w:val="top"/>
            <w:textDirection w:val="lrTb"/>
            <w:noWrap w:val="false"/>
          </w:tcPr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717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(наименование организации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perscript"/>
        </w:rPr>
        <w:t xml:space="preserve">(фамилия, имя, отчество (последнее - при наличии) индивидуального предпринимателя</w:t>
      </w:r>
      <w:r>
        <w:rPr>
          <w:sz w:val="24"/>
          <w:szCs w:val="24"/>
          <w:vertAlign w:val="superscript"/>
        </w:rPr>
        <w:t xml:space="preserve">)</w:t>
      </w:r>
      <w:r>
        <w:rPr>
          <w:sz w:val="24"/>
          <w:szCs w:val="24"/>
          <w:vertAlign w:val="superscript"/>
        </w:rPr>
        <w:t xml:space="preserve">)</w:t>
      </w:r>
      <w:r>
        <w:rPr>
          <w:sz w:val="24"/>
          <w:szCs w:val="24"/>
          <w:vertAlign w:val="superscript"/>
        </w:rPr>
      </w:r>
      <w:r>
        <w:rPr>
          <w:sz w:val="24"/>
          <w:szCs w:val="24"/>
          <w:vertAlign w:val="superscript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1"/>
        <w:gridCol w:w="8750"/>
        <w:gridCol w:w="286"/>
      </w:tblGrid>
      <w:tr>
        <w:tblPrEx/>
        <w:trPr>
          <w:trHeight w:val="73"/>
        </w:trPr>
        <w:tc>
          <w:tcPr>
            <w:tcW w:w="1101" w:type="dxa"/>
            <w:vAlign w:val="top"/>
            <w:textDirection w:val="lrTb"/>
            <w:noWrap w:val="false"/>
          </w:tcPr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лице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8750" w:type="dxa"/>
            <w:vAlign w:val="top"/>
            <w:textDirection w:val="lrTb"/>
            <w:noWrap w:val="false"/>
          </w:tcPr>
          <w:p>
            <w:pPr>
              <w:pStyle w:val="717"/>
              <w:jc w:val="both"/>
              <w:tabs>
                <w:tab w:val="left" w:pos="32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6" w:type="dxa"/>
            <w:vAlign w:val="top"/>
            <w:textDirection w:val="lrTb"/>
            <w:noWrap w:val="false"/>
          </w:tcPr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717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(должность, Ф.И.О</w:t>
      </w:r>
      <w:r>
        <w:rPr>
          <w:sz w:val="24"/>
          <w:szCs w:val="24"/>
          <w:vertAlign w:val="superscript"/>
        </w:rPr>
        <w:t xml:space="preserve">.-последнее при наличии</w:t>
      </w:r>
      <w:r>
        <w:rPr>
          <w:sz w:val="24"/>
          <w:szCs w:val="24"/>
          <w:vertAlign w:val="superscript"/>
        </w:rPr>
        <w:t xml:space="preserve">)</w:t>
      </w:r>
      <w:r>
        <w:rPr>
          <w:sz w:val="24"/>
          <w:szCs w:val="24"/>
          <w:vertAlign w:val="superscript"/>
        </w:rPr>
      </w:r>
      <w:r>
        <w:rPr>
          <w:sz w:val="24"/>
          <w:szCs w:val="24"/>
          <w:vertAlign w:val="superscript"/>
        </w:rPr>
      </w:r>
    </w:p>
    <w:p>
      <w:pPr>
        <w:pStyle w:val="7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действующего(ей) на основании Устава,</w:t>
      </w:r>
      <w:r>
        <w:rPr>
          <w:sz w:val="24"/>
          <w:szCs w:val="24"/>
        </w:rPr>
        <w:t xml:space="preserve"> именуемого (ой) в дальнейшем «О</w:t>
      </w:r>
      <w:r>
        <w:rPr>
          <w:sz w:val="24"/>
          <w:szCs w:val="24"/>
        </w:rPr>
        <w:t xml:space="preserve">рганизация»,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5"/>
        <w:gridCol w:w="9506"/>
        <w:gridCol w:w="286"/>
      </w:tblGrid>
      <w:tr>
        <w:tblPrEx/>
        <w:trPr/>
        <w:tc>
          <w:tcPr>
            <w:tcW w:w="250" w:type="dxa"/>
            <w:vAlign w:val="top"/>
            <w:textDirection w:val="lrTb"/>
            <w:noWrap w:val="false"/>
          </w:tcPr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9601" w:type="dxa"/>
            <w:vAlign w:val="top"/>
            <w:textDirection w:val="lrTb"/>
            <w:noWrap w:val="false"/>
          </w:tcPr>
          <w:p>
            <w:pPr>
              <w:pStyle w:val="717"/>
              <w:jc w:val="both"/>
              <w:tabs>
                <w:tab w:val="left" w:pos="32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6" w:type="dxa"/>
            <w:vAlign w:val="top"/>
            <w:textDirection w:val="lrTb"/>
            <w:noWrap w:val="false"/>
          </w:tcPr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717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            </w:t>
      </w:r>
      <w:r>
        <w:rPr>
          <w:sz w:val="24"/>
          <w:szCs w:val="24"/>
          <w:vertAlign w:val="superscript"/>
        </w:rPr>
        <w:t xml:space="preserve">(Ф.И.О</w:t>
      </w:r>
      <w:r>
        <w:rPr>
          <w:sz w:val="24"/>
          <w:szCs w:val="24"/>
          <w:vertAlign w:val="superscript"/>
        </w:rPr>
        <w:t xml:space="preserve">.-последнее при наличии</w:t>
      </w:r>
      <w:r>
        <w:rPr>
          <w:sz w:val="24"/>
          <w:szCs w:val="24"/>
          <w:vertAlign w:val="superscript"/>
        </w:rPr>
        <w:t xml:space="preserve">) </w:t>
      </w:r>
      <w:r>
        <w:rPr>
          <w:sz w:val="24"/>
          <w:szCs w:val="24"/>
          <w:vertAlign w:val="superscript"/>
        </w:rPr>
      </w:r>
      <w:r>
        <w:rPr>
          <w:sz w:val="24"/>
          <w:szCs w:val="24"/>
          <w:vertAlign w:val="superscript"/>
        </w:rPr>
      </w:r>
    </w:p>
    <w:p>
      <w:pPr>
        <w:pStyle w:val="717"/>
        <w:jc w:val="both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поступивший на работу в органи</w:t>
      </w:r>
      <w:r>
        <w:rPr>
          <w:sz w:val="24"/>
          <w:szCs w:val="24"/>
        </w:rPr>
        <w:t xml:space="preserve">зацию, именуемый в дальнейшем «М</w:t>
      </w:r>
      <w:r>
        <w:rPr>
          <w:sz w:val="24"/>
          <w:szCs w:val="24"/>
        </w:rPr>
        <w:t xml:space="preserve">олодой специалист», совместно именуемые «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тороны», </w:t>
      </w:r>
      <w:r>
        <w:rPr>
          <w:sz w:val="24"/>
          <w:szCs w:val="24"/>
        </w:rPr>
        <w:t xml:space="preserve">в соответствии с Порядком предоставления и размеров единовременны</w:t>
      </w:r>
      <w:r>
        <w:rPr>
          <w:sz w:val="24"/>
          <w:szCs w:val="24"/>
        </w:rPr>
        <w:t xml:space="preserve">х выплат из областного бюджета Новосибирской области молодым специалистам, принятым в течение года со дня окончания обучения на работу в организации, осуществляющие сельскохозяйственное производство в сельской местности Новосибирской области, утвержденным </w:t>
      </w:r>
      <w:r>
        <w:rPr>
          <w:sz w:val="24"/>
          <w:szCs w:val="24"/>
        </w:rPr>
        <w:t xml:space="preserve">постановлением Правительства Новосибирской области </w:t>
      </w: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03.03.2020 № 53-п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заключили настоящее соглашение </w:t>
      </w:r>
      <w:r>
        <w:rPr>
          <w:sz w:val="24"/>
          <w:szCs w:val="24"/>
        </w:rPr>
        <w:t xml:space="preserve">(далее</w:t>
      </w:r>
      <w:r>
        <w:rPr>
          <w:sz w:val="24"/>
          <w:szCs w:val="24"/>
        </w:rPr>
        <w:t xml:space="preserve"> - </w:t>
      </w:r>
      <w:r>
        <w:rPr>
          <w:sz w:val="24"/>
          <w:szCs w:val="24"/>
        </w:rPr>
        <w:t xml:space="preserve">Соглашение) </w:t>
      </w:r>
      <w:r>
        <w:rPr>
          <w:sz w:val="24"/>
          <w:szCs w:val="24"/>
        </w:rPr>
        <w:t xml:space="preserve">о нижеследующем: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numPr>
          <w:ilvl w:val="0"/>
          <w:numId w:val="1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Предмет Соглашения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left="108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1.1. </w:t>
      </w:r>
      <w:r>
        <w:rPr>
          <w:sz w:val="24"/>
          <w:szCs w:val="24"/>
        </w:rPr>
        <w:t xml:space="preserve">Предметом настоящего С</w:t>
      </w:r>
      <w:r>
        <w:rPr>
          <w:sz w:val="24"/>
          <w:szCs w:val="24"/>
        </w:rPr>
        <w:t xml:space="preserve">оглашения является регулирование взаимоотношений</w:t>
      </w:r>
      <w:r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торон </w:t>
      </w:r>
      <w:r>
        <w:rPr>
          <w:sz w:val="24"/>
          <w:szCs w:val="24"/>
        </w:rPr>
        <w:t xml:space="preserve">в целях предоставления М</w:t>
      </w:r>
      <w:r>
        <w:rPr>
          <w:sz w:val="24"/>
          <w:szCs w:val="24"/>
        </w:rPr>
        <w:t xml:space="preserve">олодому спе</w:t>
      </w:r>
      <w:r>
        <w:rPr>
          <w:sz w:val="24"/>
          <w:szCs w:val="24"/>
        </w:rPr>
        <w:t xml:space="preserve">циалисту единовременной выплаты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 Единовременная выплата предоставляется в соответствии с постановлением Правительства Новосибирской области </w:t>
      </w:r>
      <w:r>
        <w:rPr>
          <w:sz w:val="24"/>
          <w:szCs w:val="24"/>
        </w:rPr>
        <w:t xml:space="preserve">от 03.03.2020 № 53-п</w:t>
      </w:r>
      <w:r>
        <w:rPr>
          <w:sz w:val="24"/>
          <w:szCs w:val="24"/>
        </w:rPr>
        <w:t xml:space="preserve"> «Об утверждении Порядка предоставления и размеров</w:t>
      </w:r>
      <w:r>
        <w:rPr>
          <w:sz w:val="24"/>
          <w:szCs w:val="24"/>
        </w:rPr>
        <w:t xml:space="preserve"> единовременных выплат из областного бюджета Новосибирской области молодым специалистам, принятым в течение года со дня окончания обучения на работу в организации, осуществляющие сельскохозяйственное производство в сельской местности Новосибирской области»</w:t>
      </w:r>
      <w:r>
        <w:rPr>
          <w:sz w:val="24"/>
          <w:szCs w:val="24"/>
        </w:rPr>
        <w:t xml:space="preserve"> (далее – Порядок)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Размер </w:t>
      </w:r>
      <w:r>
        <w:rPr>
          <w:sz w:val="24"/>
          <w:szCs w:val="24"/>
        </w:rPr>
        <w:t xml:space="preserve">единовременной выплаты</w:t>
      </w:r>
      <w:r>
        <w:rPr>
          <w:sz w:val="24"/>
          <w:szCs w:val="24"/>
        </w:rPr>
        <w:t xml:space="preserve"> составляет </w:t>
      </w:r>
      <w:r>
        <w:rPr>
          <w:sz w:val="24"/>
          <w:szCs w:val="24"/>
        </w:rPr>
        <w:t xml:space="preserve">______</w:t>
      </w:r>
      <w:r>
        <w:rPr>
          <w:sz w:val="24"/>
          <w:szCs w:val="24"/>
        </w:rPr>
        <w:t xml:space="preserve"> тысяч рублей.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1.4. </w:t>
      </w:r>
      <w:r>
        <w:rPr>
          <w:sz w:val="24"/>
          <w:szCs w:val="24"/>
        </w:rPr>
        <w:t xml:space="preserve">Основание предоставления единовременного пособия: приказ Министерства от __________ № ______.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9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  <w:t xml:space="preserve">. Права и обязанности Сторон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</w:t>
      </w:r>
      <w:r>
        <w:rPr>
          <w:sz w:val="24"/>
          <w:szCs w:val="24"/>
        </w:rPr>
        <w:t xml:space="preserve">Молодой специалист имеет право </w:t>
      </w:r>
      <w:r>
        <w:rPr>
          <w:sz w:val="24"/>
          <w:szCs w:val="24"/>
        </w:rPr>
        <w:t xml:space="preserve">на получение </w:t>
      </w:r>
      <w:r>
        <w:rPr>
          <w:sz w:val="24"/>
          <w:szCs w:val="24"/>
        </w:rPr>
        <w:t xml:space="preserve">единовременной выплаты</w:t>
      </w:r>
      <w:r>
        <w:rPr>
          <w:sz w:val="24"/>
          <w:szCs w:val="24"/>
        </w:rPr>
        <w:t xml:space="preserve"> в размере, указанном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п</w:t>
      </w:r>
      <w:r>
        <w:rPr>
          <w:sz w:val="24"/>
          <w:szCs w:val="24"/>
        </w:rPr>
        <w:t xml:space="preserve">ункте 1.3 настоящего соглашения.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Молодой специалист обязан: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</w:t>
      </w:r>
      <w:r>
        <w:rPr>
          <w:sz w:val="24"/>
          <w:szCs w:val="24"/>
        </w:rPr>
        <w:t xml:space="preserve">. </w:t>
      </w:r>
      <w:r>
        <w:rPr>
          <w:sz w:val="24"/>
          <w:szCs w:val="24"/>
        </w:rPr>
        <w:t xml:space="preserve">отработать в О</w:t>
      </w:r>
      <w:r>
        <w:rPr>
          <w:sz w:val="24"/>
          <w:szCs w:val="24"/>
        </w:rPr>
        <w:t xml:space="preserve">рганизации не менее двух лет со дня принятия решения о предоставлении единовременной выплаты;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2.2.2. в течение пяти рабочих дней со дня заключения трудового договора </w:t>
        <w:br/>
      </w:r>
      <w:r>
        <w:rPr>
          <w:sz w:val="24"/>
          <w:szCs w:val="24"/>
        </w:rPr>
        <w:t xml:space="preserve">с иной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рганизацией, осуществляющей сельскохозяйственное производство</w:t>
      </w:r>
      <w:r>
        <w:rPr>
          <w:sz w:val="24"/>
          <w:szCs w:val="24"/>
        </w:rPr>
        <w:t xml:space="preserve">, расположенной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в сельской местности Новосибирской области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направить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в Министерство копию приказа (распоряжения) о приеме молодого специалиста на работу;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2.2.3. в течение 10 календарных дней со дня прекращения трудового договора </w:t>
      </w:r>
      <w:r>
        <w:rPr>
          <w:sz w:val="24"/>
          <w:szCs w:val="24"/>
        </w:rPr>
        <w:t xml:space="preserve">с О</w:t>
      </w:r>
      <w:r>
        <w:rPr>
          <w:sz w:val="24"/>
          <w:szCs w:val="24"/>
        </w:rPr>
        <w:t xml:space="preserve">рганизацией предоставить</w:t>
      </w:r>
      <w:r>
        <w:rPr>
          <w:sz w:val="24"/>
          <w:szCs w:val="24"/>
        </w:rPr>
        <w:t xml:space="preserve"> в Министерство</w:t>
      </w:r>
      <w:r>
        <w:rPr>
          <w:sz w:val="24"/>
          <w:szCs w:val="24"/>
        </w:rPr>
        <w:t xml:space="preserve"> копию приказа о прекращении трудового договора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9"/>
        <w:jc w:val="both"/>
        <w:rPr>
          <w:sz w:val="24"/>
          <w:szCs w:val="24"/>
          <w:highlight w:val="green"/>
        </w:rPr>
      </w:pPr>
      <w:r>
        <w:rPr>
          <w:sz w:val="24"/>
          <w:szCs w:val="24"/>
        </w:rPr>
        <w:t xml:space="preserve">2.2.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. </w:t>
      </w:r>
      <w:r>
        <w:rPr>
          <w:sz w:val="24"/>
          <w:szCs w:val="24"/>
        </w:rPr>
        <w:t xml:space="preserve">возвратить </w:t>
      </w:r>
      <w:r>
        <w:rPr>
          <w:sz w:val="24"/>
          <w:szCs w:val="24"/>
        </w:rPr>
        <w:t xml:space="preserve">единовременн</w:t>
      </w:r>
      <w:r>
        <w:rPr>
          <w:sz w:val="24"/>
          <w:szCs w:val="24"/>
        </w:rPr>
        <w:t xml:space="preserve">ую </w:t>
      </w:r>
      <w:r>
        <w:rPr>
          <w:sz w:val="24"/>
          <w:szCs w:val="24"/>
        </w:rPr>
        <w:t xml:space="preserve">выплат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полном объеме</w:t>
      </w:r>
      <w:r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областной бюджет Новосибирской области</w:t>
      </w:r>
      <w:r>
        <w:rPr>
          <w:sz w:val="24"/>
          <w:szCs w:val="24"/>
        </w:rPr>
        <w:t xml:space="preserve"> на лицевой счет Министерства, открытый в Министерстве финансов </w:t>
      </w:r>
      <w:r>
        <w:rPr>
          <w:sz w:val="24"/>
          <w:szCs w:val="24"/>
        </w:rPr>
        <w:t xml:space="preserve">и налоговой политики </w:t>
      </w:r>
      <w:r>
        <w:rPr>
          <w:sz w:val="24"/>
          <w:szCs w:val="24"/>
        </w:rPr>
        <w:t xml:space="preserve">Новосибирской области </w:t>
      </w:r>
      <w:r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течение 30 календарных дней</w:t>
      </w:r>
      <w:r>
        <w:rPr>
          <w:sz w:val="24"/>
          <w:szCs w:val="24"/>
        </w:rPr>
        <w:t xml:space="preserve"> со дня</w:t>
      </w:r>
      <w:r>
        <w:rPr>
          <w:sz w:val="24"/>
          <w:szCs w:val="24"/>
        </w:rPr>
        <w:t xml:space="preserve"> прекращения трудового договора, </w:t>
      </w:r>
      <w:r>
        <w:rPr>
          <w:sz w:val="24"/>
          <w:szCs w:val="24"/>
          <w:highlight w:val="green"/>
        </w:rPr>
        <w:t xml:space="preserve">если Молодой специалист отработал менее двух лет</w:t>
      </w:r>
      <w:r>
        <w:rPr>
          <w:sz w:val="24"/>
          <w:szCs w:val="24"/>
          <w:highlight w:val="green"/>
        </w:rPr>
        <w:t xml:space="preserve"> в сельскохозяйственной организации или срок трудоустройства в сельскохозяйственную организацию превысил более одного года после окончания обучения, не </w:t>
      </w:r>
      <w:r>
        <w:rPr>
          <w:rFonts w:eastAsia="Calibri"/>
          <w:sz w:val="24"/>
          <w:szCs w:val="24"/>
          <w:highlight w:val="green"/>
          <w:lang w:eastAsia="en-US"/>
        </w:rPr>
        <w:t xml:space="preserve">учитывая периода прохождения </w:t>
      </w:r>
      <w:r>
        <w:rPr>
          <w:sz w:val="24"/>
          <w:szCs w:val="24"/>
          <w:highlight w:val="green"/>
        </w:rPr>
        <w:t xml:space="preserve">военной службы по призыву или альтернативной гражданской службы, период</w:t>
      </w:r>
      <w:r>
        <w:rPr>
          <w:sz w:val="24"/>
          <w:szCs w:val="24"/>
          <w:highlight w:val="green"/>
        </w:rPr>
        <w:t xml:space="preserve">а прохождения военной службы по мобилизации в Вооруженные Силы Российской Федерации в соответствии с </w:t>
      </w:r>
      <w:hyperlink r:id="rId14" w:tooltip="https://login.consultant.ru/link/?req=doc&amp;base=LAW&amp;n=426999" w:history="1">
        <w:r>
          <w:rPr>
            <w:sz w:val="24"/>
            <w:szCs w:val="24"/>
            <w:highlight w:val="green"/>
          </w:rPr>
          <w:t xml:space="preserve">Указом</w:t>
        </w:r>
      </w:hyperlink>
      <w:r>
        <w:rPr>
          <w:sz w:val="24"/>
          <w:szCs w:val="24"/>
          <w:highlight w:val="green"/>
        </w:rPr>
        <w:t xml:space="preserve"> Президе</w:t>
      </w:r>
      <w:r>
        <w:rPr>
          <w:sz w:val="24"/>
          <w:szCs w:val="24"/>
          <w:highlight w:val="green"/>
        </w:rPr>
        <w:t xml:space="preserve">нта Российской Федерации от 21.09.2022 № 647 «Об объявлении частичной мобилизации в Российской Федерации», периода прохождения военной службы по контракту, заключенному в соответствии с </w:t>
      </w:r>
      <w:hyperlink r:id="rId15" w:tooltip="https://login.consultant.ru/link/?req=doc&amp;base=LAW&amp;n=487135&amp;dst=1187" w:history="1">
        <w:r>
          <w:rPr>
            <w:sz w:val="24"/>
            <w:szCs w:val="24"/>
            <w:highlight w:val="green"/>
          </w:rPr>
          <w:t xml:space="preserve">пунктом 7 статьи 38</w:t>
        </w:r>
      </w:hyperlink>
      <w:r>
        <w:rPr>
          <w:sz w:val="24"/>
          <w:szCs w:val="24"/>
          <w:highlight w:val="green"/>
        </w:rPr>
        <w:t xml:space="preserve"> Федерального закона от 28.03.1998 № 53-ФЗ «О воинской обязанности и военной службе», периода действия контракта о добровольном содействии в выполне</w:t>
      </w:r>
      <w:r>
        <w:rPr>
          <w:sz w:val="24"/>
          <w:szCs w:val="24"/>
          <w:highlight w:val="green"/>
        </w:rPr>
        <w:t xml:space="preserve">нии задач, возложенных на Вооруженные </w:t>
      </w:r>
      <w:r>
        <w:rPr>
          <w:sz w:val="24"/>
          <w:szCs w:val="24"/>
          <w:highlight w:val="green"/>
        </w:rPr>
        <w:t xml:space="preserve">Силы Российской Федерации, периода отпуска по беременности и родам, отпуска по уходу за ребенком до достижения им возраста трех лет</w:t>
      </w:r>
      <w:r>
        <w:rPr>
          <w:sz w:val="24"/>
          <w:szCs w:val="24"/>
          <w:highlight w:val="green"/>
        </w:rPr>
        <w:t xml:space="preserve">.</w:t>
      </w:r>
      <w:r>
        <w:rPr>
          <w:sz w:val="24"/>
          <w:szCs w:val="24"/>
          <w:highlight w:val="green"/>
        </w:rPr>
      </w:r>
    </w:p>
    <w:p>
      <w:pPr>
        <w:ind w:firstLine="709"/>
        <w:jc w:val="both"/>
        <w:rPr>
          <w:sz w:val="24"/>
          <w:szCs w:val="24"/>
          <w:highlight w:val="green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  <w:t xml:space="preserve">2.3. Организация имеет право:</w:t>
      </w:r>
      <w:r>
        <w:rPr>
          <w:sz w:val="24"/>
          <w:szCs w:val="24"/>
          <w:highlight w:val="green"/>
        </w:rPr>
      </w:r>
      <w:r/>
    </w:p>
    <w:p>
      <w:pPr>
        <w:pStyle w:val="71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2.3.1. расторгнуть трудовой договор с Молодым специалистом в случаях, предусмотренных Трудовы</w:t>
      </w:r>
      <w:r>
        <w:rPr>
          <w:sz w:val="24"/>
          <w:szCs w:val="24"/>
        </w:rPr>
        <w:t xml:space="preserve">м кодексом Российской Федерации.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Организация обязана: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2.4.1. </w:t>
      </w:r>
      <w:r>
        <w:rPr>
          <w:sz w:val="24"/>
          <w:szCs w:val="24"/>
        </w:rPr>
        <w:t xml:space="preserve">ежемесячно, не позднее 5 числа текущего месяца, предоставлять в Министерство информацию </w:t>
      </w:r>
      <w:r>
        <w:rPr>
          <w:sz w:val="24"/>
          <w:szCs w:val="24"/>
        </w:rPr>
        <w:t xml:space="preserve">о фактической занятости М</w:t>
      </w:r>
      <w:r>
        <w:rPr>
          <w:sz w:val="24"/>
          <w:szCs w:val="24"/>
        </w:rPr>
        <w:t xml:space="preserve">олодого специалиста, включенного в перечень на получение выплаты;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2.4.2.</w:t>
      </w:r>
      <w:r>
        <w:rPr>
          <w:sz w:val="24"/>
          <w:szCs w:val="24"/>
        </w:rPr>
        <w:t xml:space="preserve"> предоставлять информацию об исполнении обязательств </w:t>
        <w:br/>
        <w:t xml:space="preserve">по настоящему соглашению по запросам Министерства в сроки, указанные </w:t>
        <w:br/>
        <w:t xml:space="preserve">в запросе.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Министерство имеет право: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2.5.1. проверять достоверность документов</w:t>
      </w:r>
      <w:r>
        <w:rPr>
          <w:sz w:val="24"/>
          <w:szCs w:val="24"/>
        </w:rPr>
        <w:t xml:space="preserve"> и сведений</w:t>
      </w:r>
      <w:r>
        <w:rPr>
          <w:sz w:val="24"/>
          <w:szCs w:val="24"/>
        </w:rPr>
        <w:t xml:space="preserve">, п</w:t>
      </w:r>
      <w:r>
        <w:rPr>
          <w:sz w:val="24"/>
          <w:szCs w:val="24"/>
        </w:rPr>
        <w:t xml:space="preserve">редоставленных </w:t>
        <w:br/>
        <w:t xml:space="preserve">в Министерство М</w:t>
      </w:r>
      <w:r>
        <w:rPr>
          <w:sz w:val="24"/>
          <w:szCs w:val="24"/>
        </w:rPr>
        <w:t xml:space="preserve">олодым специалистом;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2.5.2. </w:t>
      </w:r>
      <w:r>
        <w:rPr>
          <w:sz w:val="24"/>
          <w:szCs w:val="24"/>
        </w:rPr>
        <w:t xml:space="preserve">направлять в О</w:t>
      </w:r>
      <w:r>
        <w:rPr>
          <w:sz w:val="24"/>
          <w:szCs w:val="24"/>
        </w:rPr>
        <w:t xml:space="preserve">рганизацию запросы о предоставлении информации </w:t>
        <w:br/>
        <w:t xml:space="preserve">об исполнении обязательств по настоящему 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оглашению;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2.5.3. осуществлять контроль за соблюдение</w:t>
      </w:r>
      <w:r>
        <w:rPr>
          <w:sz w:val="24"/>
          <w:szCs w:val="24"/>
        </w:rPr>
        <w:t xml:space="preserve">м С</w:t>
      </w:r>
      <w:r>
        <w:rPr>
          <w:sz w:val="24"/>
          <w:szCs w:val="24"/>
        </w:rPr>
        <w:t xml:space="preserve">торонами условий настоящего С</w:t>
      </w:r>
      <w:r>
        <w:rPr>
          <w:sz w:val="24"/>
          <w:szCs w:val="24"/>
        </w:rPr>
        <w:t xml:space="preserve">оглашения;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2.5.4. </w:t>
      </w:r>
      <w:r>
        <w:rPr>
          <w:sz w:val="24"/>
          <w:szCs w:val="24"/>
        </w:rPr>
        <w:t xml:space="preserve">при неисполнении М</w:t>
      </w:r>
      <w:r>
        <w:rPr>
          <w:sz w:val="24"/>
          <w:szCs w:val="24"/>
        </w:rPr>
        <w:t xml:space="preserve">олодым специалистом обязанности </w:t>
        <w:br/>
        <w:t xml:space="preserve">по добровольному возврату средств единовременного пособия в случае, предусмотренном пунктом 2.2.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настоящего соглашения, принимать меры </w:t>
        <w:br/>
        <w:t xml:space="preserve">по взысканию указанных средств в областной бюджет Новосибирской области</w:t>
      </w:r>
      <w:r>
        <w:rPr>
          <w:sz w:val="24"/>
          <w:szCs w:val="24"/>
        </w:rPr>
        <w:t xml:space="preserve"> в соответствии </w:t>
      </w:r>
      <w:r>
        <w:rPr>
          <w:sz w:val="24"/>
          <w:szCs w:val="24"/>
        </w:rPr>
        <w:t xml:space="preserve">с действующим законодательством Российской Федерации.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Министерство обязано: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2.6.1. </w:t>
      </w:r>
      <w:r>
        <w:rPr>
          <w:sz w:val="24"/>
          <w:szCs w:val="24"/>
        </w:rPr>
        <w:t xml:space="preserve">обеспечить перечисление единовременной выплаты </w:t>
      </w:r>
      <w:r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лицевой счет</w:t>
      </w:r>
      <w:r>
        <w:rPr>
          <w:sz w:val="24"/>
          <w:szCs w:val="24"/>
        </w:rPr>
        <w:t xml:space="preserve"> М</w:t>
      </w:r>
      <w:r>
        <w:rPr>
          <w:sz w:val="24"/>
          <w:szCs w:val="24"/>
        </w:rPr>
        <w:t xml:space="preserve">олодого специалиста, открыты</w:t>
      </w:r>
      <w:r>
        <w:rPr>
          <w:sz w:val="24"/>
          <w:szCs w:val="24"/>
        </w:rPr>
        <w:t xml:space="preserve">й</w:t>
      </w:r>
      <w:r>
        <w:rPr>
          <w:sz w:val="24"/>
          <w:szCs w:val="24"/>
        </w:rPr>
        <w:t xml:space="preserve"> им в кредитной организации.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III</w:t>
      </w:r>
      <w:r>
        <w:rPr>
          <w:sz w:val="24"/>
          <w:szCs w:val="24"/>
        </w:rPr>
        <w:t xml:space="preserve">. Изменение и расторжение соглашения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Все и</w:t>
      </w:r>
      <w:r>
        <w:rPr>
          <w:sz w:val="24"/>
          <w:szCs w:val="24"/>
        </w:rPr>
        <w:t xml:space="preserve">змен</w:t>
      </w:r>
      <w:r>
        <w:rPr>
          <w:sz w:val="24"/>
          <w:szCs w:val="24"/>
        </w:rPr>
        <w:t xml:space="preserve">ения и дополнения к настоящему С</w:t>
      </w:r>
      <w:r>
        <w:rPr>
          <w:sz w:val="24"/>
          <w:szCs w:val="24"/>
        </w:rPr>
        <w:t xml:space="preserve">оглашению </w:t>
      </w:r>
      <w:r>
        <w:rPr>
          <w:sz w:val="24"/>
          <w:szCs w:val="24"/>
        </w:rPr>
        <w:t xml:space="preserve">оформля</w:t>
      </w:r>
      <w:r>
        <w:rPr>
          <w:sz w:val="24"/>
          <w:szCs w:val="24"/>
        </w:rPr>
        <w:t xml:space="preserve">ю</w:t>
      </w:r>
      <w:r>
        <w:rPr>
          <w:sz w:val="24"/>
          <w:szCs w:val="24"/>
        </w:rPr>
        <w:t xml:space="preserve">тся в виде дополнительного соглашения</w:t>
      </w:r>
      <w:r>
        <w:rPr>
          <w:sz w:val="24"/>
          <w:szCs w:val="24"/>
        </w:rPr>
        <w:t xml:space="preserve">, которое</w:t>
      </w:r>
      <w:r>
        <w:rPr>
          <w:sz w:val="24"/>
          <w:szCs w:val="24"/>
        </w:rPr>
        <w:t xml:space="preserve"> после подписания станов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тся неотъемлемой частью Соглашения.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Расторжение настоящего Соглашения </w:t>
      </w:r>
      <w:r>
        <w:rPr>
          <w:sz w:val="24"/>
          <w:szCs w:val="24"/>
        </w:rPr>
        <w:t xml:space="preserve">осуществляется по соглашению сторон, </w:t>
      </w:r>
      <w:r>
        <w:rPr>
          <w:sz w:val="24"/>
          <w:szCs w:val="24"/>
        </w:rPr>
        <w:t xml:space="preserve">либо</w:t>
      </w:r>
      <w:r>
        <w:rPr>
          <w:sz w:val="24"/>
          <w:szCs w:val="24"/>
        </w:rPr>
        <w:t xml:space="preserve"> в одностороннем порядке, </w:t>
      </w:r>
      <w:r>
        <w:rPr>
          <w:sz w:val="24"/>
          <w:szCs w:val="24"/>
        </w:rPr>
        <w:t xml:space="preserve">в случаях </w:t>
      </w:r>
      <w:r>
        <w:rPr>
          <w:sz w:val="24"/>
          <w:szCs w:val="24"/>
        </w:rPr>
        <w:t xml:space="preserve">предусмотренн</w:t>
      </w:r>
      <w:r>
        <w:rPr>
          <w:sz w:val="24"/>
          <w:szCs w:val="24"/>
        </w:rPr>
        <w:t xml:space="preserve">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HYPERLINK consultantplus://offline/ref=7A486FBFA9CCD2364436F08243BAAB028C7EB49CE6905DD0BBDB486CB635652352BCD412E97577472D99311F1BFD5E5ED970B1f2xDC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 xml:space="preserve">пунктом 3.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3.</w:t>
      </w:r>
      <w:r>
        <w:rPr>
          <w:sz w:val="24"/>
          <w:szCs w:val="24"/>
        </w:rPr>
        <w:t xml:space="preserve"> настоящего Соглашения.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 </w:t>
      </w:r>
      <w:r>
        <w:rPr>
          <w:sz w:val="24"/>
          <w:szCs w:val="24"/>
        </w:rPr>
        <w:t xml:space="preserve">Расторжение настоящего Соглашения Министерством в одностороннем порядке возможно в случаях: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. </w:t>
      </w:r>
      <w:r>
        <w:rPr>
          <w:sz w:val="24"/>
          <w:szCs w:val="24"/>
        </w:rPr>
        <w:t xml:space="preserve">прекращения деятельности 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рганизации</w:t>
      </w:r>
      <w:r>
        <w:rPr>
          <w:sz w:val="24"/>
          <w:szCs w:val="24"/>
        </w:rPr>
        <w:t xml:space="preserve"> (реорганизация Организации не влечет за собой его расторжения)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2.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нарушения </w:t>
      </w:r>
      <w:r>
        <w:rPr>
          <w:sz w:val="24"/>
          <w:szCs w:val="24"/>
        </w:rPr>
        <w:t xml:space="preserve">Молодым специалистом</w:t>
      </w:r>
      <w:r>
        <w:rPr>
          <w:sz w:val="24"/>
          <w:szCs w:val="24"/>
        </w:rPr>
        <w:t xml:space="preserve"> условий предоставления</w:t>
      </w:r>
      <w:r>
        <w:rPr>
          <w:sz w:val="24"/>
          <w:szCs w:val="24"/>
        </w:rPr>
        <w:t xml:space="preserve"> единовременной выплаты, установленных Порядком и настоящим Соглашением.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. </w:t>
      </w:r>
      <w:r>
        <w:rPr>
          <w:sz w:val="24"/>
          <w:szCs w:val="24"/>
        </w:rPr>
        <w:t xml:space="preserve">В случае</w:t>
      </w:r>
      <w:r>
        <w:rPr>
          <w:sz w:val="24"/>
          <w:szCs w:val="24"/>
        </w:rPr>
        <w:t xml:space="preserve"> расторжени</w:t>
      </w:r>
      <w:r>
        <w:rPr>
          <w:sz w:val="24"/>
          <w:szCs w:val="24"/>
        </w:rPr>
        <w:t xml:space="preserve">я</w:t>
      </w:r>
      <w:r>
        <w:rPr>
          <w:sz w:val="24"/>
          <w:szCs w:val="24"/>
        </w:rPr>
        <w:t xml:space="preserve"> Молодым специалистом трудового договора с Организацией действие настоящего Соглашения прекращается.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IV</w:t>
      </w:r>
      <w:r>
        <w:rPr>
          <w:sz w:val="24"/>
          <w:szCs w:val="24"/>
        </w:rPr>
        <w:t xml:space="preserve">. Особые условия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9"/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4.1. </w:t>
      </w:r>
      <w:r>
        <w:rPr>
          <w:sz w:val="24"/>
          <w:szCs w:val="24"/>
        </w:rPr>
        <w:t xml:space="preserve">В случаях прекращения М</w:t>
      </w:r>
      <w:r>
        <w:rPr>
          <w:sz w:val="24"/>
          <w:szCs w:val="24"/>
        </w:rPr>
        <w:t xml:space="preserve">олодым специалистам трудо</w:t>
      </w:r>
      <w:r>
        <w:rPr>
          <w:sz w:val="24"/>
          <w:szCs w:val="24"/>
        </w:rPr>
        <w:t xml:space="preserve">вого договора с сельскохозяйственной организацией до истечения двух лет со дня принятия решения о предоставлении единовременной выплаты полученная им единовременная выплата подлежит возврату в областной бюджет Новосибирской области, за исключением случаев: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4"/>
          <w:szCs w:val="24"/>
        </w:rPr>
        <w:t xml:space="preserve">прекращения трудового договора в связи с призывом молодого специалиста на военную службу или направления на альтернативную гражданскую службу;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del w:id="0" w:author="ksa@NSO.LOC" w:date="2025-03-17T06:27:47Z" oouserid="ksa@NSO.LOC">
        <w:r>
          <w:rPr>
            <w:sz w:val="24"/>
            <w:szCs w:val="24"/>
          </w:rPr>
        </w:r>
      </w:del>
      <w:r>
        <w:rPr>
          <w:sz w:val="24"/>
          <w:szCs w:val="24"/>
        </w:rPr>
        <w:t xml:space="preserve">выявлени</w:t>
      </w:r>
      <w:r>
        <w:rPr>
          <w:sz w:val="24"/>
          <w:szCs w:val="24"/>
        </w:rPr>
        <w:t xml:space="preserve">я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противопоказаний для выполнения молодым специалистом работы, обусловленной трудовым договором;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4"/>
          <w:szCs w:val="24"/>
        </w:rPr>
        <w:t xml:space="preserve">изменения места службы </w:t>
      </w:r>
      <w:r>
        <w:rPr>
          <w:sz w:val="24"/>
          <w:szCs w:val="24"/>
        </w:rPr>
        <w:t xml:space="preserve"> супруга (супруги) - военнослужащих офицерского и начальствующего состава, прапорщиков, мичманов и других </w:t>
      </w:r>
      <w:r>
        <w:rPr>
          <w:sz w:val="24"/>
          <w:szCs w:val="24"/>
        </w:rPr>
        <w:t xml:space="preserve">военнослужащих, проходящих службу по контракту в Вооруженных Силах Российской Федерации, органах Министерства внутренних </w:t>
      </w:r>
      <w:r>
        <w:rPr>
          <w:sz w:val="24"/>
          <w:szCs w:val="24"/>
        </w:rPr>
        <w:t xml:space="preserve">дел Российской Федерации и других федеральных органах исполнительной власти,</w:t>
      </w:r>
      <w:r>
        <w:rPr>
          <w:sz w:val="24"/>
          <w:szCs w:val="24"/>
        </w:rPr>
        <w:t xml:space="preserve"> связанного с необходимостью переезда семьи в другую местность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признания молодого специалиста недееспособным или ограниченно дееспособным решением суда, вступ</w:t>
      </w:r>
      <w:r>
        <w:rPr>
          <w:sz w:val="24"/>
          <w:szCs w:val="24"/>
        </w:rPr>
        <w:t xml:space="preserve">ившим в законную силу.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717"/>
        <w:ind w:firstLine="709"/>
        <w:jc w:val="both"/>
        <w:rPr>
          <w:sz w:val="24"/>
          <w:szCs w:val="24"/>
          <w:highlight w:val="green"/>
        </w:rPr>
      </w:pPr>
      <w:r>
        <w:rPr>
          <w:sz w:val="24"/>
          <w:szCs w:val="24"/>
          <w:highlight w:val="green"/>
        </w:rPr>
        <w:t xml:space="preserve">4.2</w:t>
      </w:r>
      <w:r>
        <w:rPr>
          <w:sz w:val="24"/>
          <w:szCs w:val="24"/>
          <w:highlight w:val="green"/>
        </w:rPr>
        <w:t xml:space="preserve">. В случае призыва на военную службу или направления на альтернативную гражданскую службу в течение года со дня окончания обучения право на назначение единовременной выплаты сохраняется при условии трудоустройства </w:t>
      </w:r>
      <w:r>
        <w:rPr>
          <w:sz w:val="24"/>
          <w:szCs w:val="24"/>
          <w:highlight w:val="green"/>
        </w:rPr>
        <w:t xml:space="preserve">М</w:t>
      </w:r>
      <w:r>
        <w:rPr>
          <w:sz w:val="24"/>
          <w:szCs w:val="24"/>
          <w:highlight w:val="green"/>
        </w:rPr>
        <w:t xml:space="preserve">олодого специалиста в сельскохозяйственную организацию в течение 30 календарных дней после увольнения с военной службы или альтернативной гражданской службы.</w:t>
      </w:r>
      <w:r>
        <w:rPr>
          <w:sz w:val="24"/>
          <w:szCs w:val="24"/>
          <w:highlight w:val="green"/>
        </w:rPr>
      </w:r>
      <w:r>
        <w:rPr>
          <w:sz w:val="24"/>
          <w:szCs w:val="24"/>
          <w:highlight w:val="green"/>
        </w:rPr>
      </w:r>
    </w:p>
    <w:p>
      <w:pPr>
        <w:pStyle w:val="717"/>
        <w:ind w:firstLine="709"/>
        <w:jc w:val="both"/>
        <w:rPr>
          <w:sz w:val="24"/>
          <w:szCs w:val="24"/>
          <w:highlight w:val="green"/>
        </w:rPr>
      </w:pPr>
      <w:r>
        <w:rPr>
          <w:sz w:val="24"/>
          <w:szCs w:val="24"/>
          <w:highlight w:val="green"/>
        </w:rPr>
        <w:t xml:space="preserve">4.3. </w:t>
      </w:r>
      <w:r>
        <w:rPr>
          <w:sz w:val="24"/>
          <w:szCs w:val="24"/>
          <w:highlight w:val="green"/>
        </w:rPr>
        <w:t xml:space="preserve">В случае рождения ребенка на день окончания обучения право на назначение единовременной выплаты сохраняется при условии трудоустройства </w:t>
      </w:r>
      <w:r>
        <w:rPr>
          <w:sz w:val="24"/>
          <w:szCs w:val="24"/>
          <w:highlight w:val="green"/>
        </w:rPr>
        <w:t xml:space="preserve">М</w:t>
      </w:r>
      <w:r>
        <w:rPr>
          <w:sz w:val="24"/>
          <w:szCs w:val="24"/>
          <w:highlight w:val="green"/>
        </w:rPr>
        <w:t xml:space="preserve">олодого специалиста в сельскохозяйственную организацию не позднее 30 календарных дней со дня достижения ребенком возраста полутора лет.</w:t>
      </w:r>
      <w:r>
        <w:rPr>
          <w:sz w:val="24"/>
          <w:szCs w:val="24"/>
          <w:highlight w:val="green"/>
        </w:rPr>
      </w:r>
      <w:r>
        <w:rPr>
          <w:sz w:val="24"/>
          <w:szCs w:val="24"/>
          <w:highlight w:val="green"/>
        </w:rPr>
      </w:r>
    </w:p>
    <w:p>
      <w:pPr>
        <w:pStyle w:val="717"/>
        <w:ind w:firstLine="709"/>
        <w:jc w:val="both"/>
        <w:rPr>
          <w:sz w:val="24"/>
          <w:szCs w:val="24"/>
          <w:highlight w:val="green"/>
        </w:rPr>
      </w:pPr>
      <w:r>
        <w:rPr>
          <w:sz w:val="24"/>
          <w:szCs w:val="24"/>
          <w:highlight w:val="green"/>
        </w:rPr>
        <w:t xml:space="preserve">4.4. </w:t>
      </w:r>
      <w:r>
        <w:rPr>
          <w:sz w:val="24"/>
          <w:szCs w:val="24"/>
          <w:highlight w:val="green"/>
        </w:rPr>
        <w:t xml:space="preserve">При перехо</w:t>
      </w:r>
      <w:r>
        <w:rPr>
          <w:sz w:val="24"/>
          <w:szCs w:val="24"/>
          <w:highlight w:val="green"/>
        </w:rPr>
        <w:t xml:space="preserve">де </w:t>
      </w:r>
      <w:r>
        <w:rPr>
          <w:sz w:val="24"/>
          <w:szCs w:val="24"/>
          <w:highlight w:val="green"/>
        </w:rPr>
        <w:t xml:space="preserve">М</w:t>
      </w:r>
      <w:r>
        <w:rPr>
          <w:sz w:val="24"/>
          <w:szCs w:val="24"/>
          <w:highlight w:val="green"/>
        </w:rPr>
        <w:t xml:space="preserve">олодого специалиста в другую</w:t>
      </w:r>
      <w:r>
        <w:rPr>
          <w:sz w:val="24"/>
          <w:szCs w:val="24"/>
          <w:highlight w:val="green"/>
        </w:rPr>
        <w:t xml:space="preserve"> О</w:t>
      </w:r>
      <w:r>
        <w:rPr>
          <w:sz w:val="24"/>
          <w:szCs w:val="24"/>
          <w:highlight w:val="green"/>
        </w:rPr>
        <w:t xml:space="preserve">рганизацию</w:t>
      </w:r>
      <w:r>
        <w:rPr>
          <w:sz w:val="24"/>
          <w:szCs w:val="24"/>
          <w:highlight w:val="green"/>
        </w:rPr>
        <w:t xml:space="preserve">, осуществляющую сельскохозяйственное производство допускается перерыв в работе сроком не более 30 календарных дней.</w:t>
      </w:r>
      <w:r>
        <w:rPr>
          <w:sz w:val="24"/>
          <w:szCs w:val="24"/>
          <w:highlight w:val="green"/>
        </w:rPr>
      </w:r>
      <w:r>
        <w:rPr>
          <w:sz w:val="24"/>
          <w:szCs w:val="24"/>
          <w:highlight w:val="green"/>
        </w:rPr>
      </w:r>
    </w:p>
    <w:p>
      <w:pPr>
        <w:pStyle w:val="71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Ответственность С</w:t>
      </w:r>
      <w:r>
        <w:rPr>
          <w:sz w:val="24"/>
          <w:szCs w:val="24"/>
        </w:rPr>
        <w:t xml:space="preserve">торон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5.1. </w:t>
      </w:r>
      <w:r>
        <w:rPr>
          <w:sz w:val="24"/>
          <w:szCs w:val="24"/>
        </w:rPr>
        <w:t xml:space="preserve">За неисполнение или ненадлежащее исполнение Сторонами обязательств по настоящему Соглашению</w:t>
      </w:r>
      <w:r>
        <w:rPr>
          <w:sz w:val="24"/>
          <w:szCs w:val="24"/>
        </w:rPr>
        <w:t xml:space="preserve">, С</w:t>
      </w:r>
      <w:r>
        <w:rPr>
          <w:sz w:val="24"/>
          <w:szCs w:val="24"/>
        </w:rPr>
        <w:t xml:space="preserve">тороны несут ответственность в соответствии с действующим законодательством Российской Федерации.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VI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Разрешение споров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.1. </w:t>
      </w:r>
      <w:r>
        <w:rPr>
          <w:sz w:val="24"/>
          <w:szCs w:val="24"/>
        </w:rPr>
        <w:t xml:space="preserve"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.2. </w:t>
      </w:r>
      <w:r>
        <w:rPr>
          <w:sz w:val="24"/>
          <w:szCs w:val="24"/>
        </w:rPr>
        <w:t xml:space="preserve">При недостижении согласия споры между Сторонами решаются в судебном порядке.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  <w:t xml:space="preserve">I</w:t>
      </w:r>
      <w:r>
        <w:rPr>
          <w:sz w:val="24"/>
          <w:szCs w:val="24"/>
        </w:rPr>
        <w:t xml:space="preserve">. Заключительные положения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 C</w:t>
      </w:r>
      <w:r>
        <w:rPr>
          <w:sz w:val="24"/>
          <w:szCs w:val="24"/>
        </w:rPr>
        <w:t xml:space="preserve">оглашение вступае</w:t>
      </w:r>
      <w:r>
        <w:rPr>
          <w:sz w:val="24"/>
          <w:szCs w:val="24"/>
        </w:rPr>
        <w:t xml:space="preserve">т в силу с даты его подписания С</w:t>
      </w:r>
      <w:r>
        <w:rPr>
          <w:sz w:val="24"/>
          <w:szCs w:val="24"/>
        </w:rPr>
        <w:t xml:space="preserve">торонами </w:t>
        <w:br/>
        <w:t xml:space="preserve">и действует до полного исп</w:t>
      </w:r>
      <w:r>
        <w:rPr>
          <w:sz w:val="24"/>
          <w:szCs w:val="24"/>
        </w:rPr>
        <w:t xml:space="preserve">олнения С</w:t>
      </w:r>
      <w:r>
        <w:rPr>
          <w:sz w:val="24"/>
          <w:szCs w:val="24"/>
        </w:rPr>
        <w:t xml:space="preserve">торонами своих обязательств</w:t>
      </w:r>
      <w:r>
        <w:rPr>
          <w:sz w:val="24"/>
          <w:szCs w:val="24"/>
        </w:rPr>
        <w:t xml:space="preserve"> по Соглашению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7.2. </w:t>
      </w:r>
      <w:r>
        <w:rPr>
          <w:sz w:val="24"/>
          <w:szCs w:val="24"/>
        </w:rPr>
        <w:t xml:space="preserve">Соглашение составлено в трех экземплярах, имеющих равную юридическую</w:t>
      </w:r>
      <w:r>
        <w:rPr>
          <w:sz w:val="24"/>
          <w:szCs w:val="24"/>
        </w:rPr>
        <w:t xml:space="preserve"> силу, по одному для каждой из С</w:t>
      </w:r>
      <w:r>
        <w:rPr>
          <w:sz w:val="24"/>
          <w:szCs w:val="24"/>
        </w:rPr>
        <w:t xml:space="preserve">торон.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VII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  <w:t xml:space="preserve">. Платежные реквизиты и подписи Сторон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1"/>
        <w:gridCol w:w="66"/>
        <w:gridCol w:w="3793"/>
        <w:gridCol w:w="49"/>
        <w:gridCol w:w="4912"/>
      </w:tblGrid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9" w:type="dxa"/>
            <w:vAlign w:val="top"/>
            <w:textDirection w:val="lrTb"/>
            <w:noWrap w:val="false"/>
          </w:tcPr>
          <w:p>
            <w:pPr>
              <w:pStyle w:val="717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Министерство:</w:t>
            </w:r>
            <w:r>
              <w:rPr>
                <w:sz w:val="24"/>
                <w:szCs w:val="24"/>
                <w:u w:val="single"/>
              </w:rPr>
            </w:r>
            <w:r>
              <w:rPr>
                <w:sz w:val="24"/>
                <w:szCs w:val="24"/>
                <w:u w:val="single"/>
              </w:rPr>
            </w:r>
          </w:p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сельского хозяйства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630007, г. Новосибирск,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Красный проспект, д.18,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р/с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      <wp:simplePos x="0" y="0"/>
                      <wp:positionH relativeFrom="column">
                        <wp:posOffset>3020060</wp:posOffset>
                      </wp:positionH>
                      <wp:positionV relativeFrom="paragraph">
                        <wp:posOffset>120015</wp:posOffset>
                      </wp:positionV>
                      <wp:extent cx="45085" cy="107950"/>
                      <wp:effectExtent l="0" t="0" r="0" b="0"/>
                      <wp:wrapNone/>
                      <wp:docPr id="3" name="_x0000_s10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5084" cy="10794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1" type="#_x0000_t1" style="position:absolute;z-index:524288;o:allowoverlap:true;o:allowincell:true;mso-position-horizontal-relative:text;margin-left:237.80pt;mso-position-horizontal:absolute;mso-position-vertical-relative:text;margin-top:9.45pt;mso-position-vertical:absolute;width:3.55pt;height:8.50pt;mso-wrap-distance-left:9.00pt;mso-wrap-distance-top:0.00pt;mso-wrap-distance-right:9.00pt;mso-wrap-distance-bottom:0.00pt;visibility:visible;" fillcolor="#FFFFFF" stroked="f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БИК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КПП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ОКТМО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УФК по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(Минсельхоз НСО)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12" w:type="dxa"/>
            <w:vAlign w:val="top"/>
            <w:textDirection w:val="lrTb"/>
            <w:noWrap w:val="false"/>
          </w:tcPr>
          <w:p>
            <w:pPr>
              <w:pStyle w:val="717"/>
              <w:jc w:val="both"/>
              <w:spacing w:after="12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Организация</w:t>
            </w:r>
            <w:r>
              <w:rPr>
                <w:sz w:val="24"/>
                <w:szCs w:val="24"/>
                <w:u w:val="single"/>
              </w:rPr>
              <w:t xml:space="preserve">: </w:t>
            </w:r>
            <w:r>
              <w:rPr>
                <w:sz w:val="24"/>
                <w:szCs w:val="24"/>
                <w:u w:val="single"/>
              </w:rPr>
            </w:r>
            <w:r>
              <w:rPr>
                <w:sz w:val="24"/>
                <w:szCs w:val="24"/>
                <w:u w:val="single"/>
              </w:rPr>
            </w:r>
          </w:p>
          <w:tbl>
            <w:tblPr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4841"/>
            </w:tblGrid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5025" w:type="dxa"/>
                  <w:vAlign w:val="top"/>
                  <w:textDirection w:val="lrTb"/>
                  <w:noWrap w:val="false"/>
                </w:tcPr>
                <w:p>
                  <w:pPr>
                    <w:pStyle w:val="71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7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 xml:space="preserve">(полное наименование)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tbl>
            <w:tblPr>
              <w:tblW w:w="0" w:type="auto"/>
              <w:tblInd w:w="0" w:type="dxa"/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2701"/>
              <w:gridCol w:w="2140"/>
            </w:tblGrid>
            <w:tr>
              <w:tblPrEx/>
              <w:trPr/>
              <w:tc>
                <w:tcPr>
                  <w:tcW w:w="2770" w:type="dxa"/>
                  <w:vAlign w:val="top"/>
                  <w:textDirection w:val="lrTb"/>
                  <w:noWrap w:val="false"/>
                </w:tcPr>
                <w:p>
                  <w:pPr>
                    <w:pStyle w:val="717"/>
                    <w:ind w:left="-113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Юридический адрес: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bottom w:val="single" w:color="000000" w:sz="4" w:space="0"/>
                  </w:tcBorders>
                  <w:tcW w:w="2255" w:type="dxa"/>
                  <w:vAlign w:val="top"/>
                  <w:textDirection w:val="lrTb"/>
                  <w:noWrap w:val="false"/>
                </w:tcPr>
                <w:p>
                  <w:pPr>
                    <w:pStyle w:val="717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gridSpan w:val="2"/>
                  <w:tcBorders>
                    <w:bottom w:val="single" w:color="000000" w:sz="4" w:space="0"/>
                  </w:tcBorders>
                  <w:tcW w:w="5025" w:type="dxa"/>
                  <w:vAlign w:val="top"/>
                  <w:textDirection w:val="lrTb"/>
                  <w:noWrap w:val="false"/>
                </w:tcPr>
                <w:p>
                  <w:pPr>
                    <w:pStyle w:val="717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tcW w:w="2770" w:type="dxa"/>
                  <w:vAlign w:val="top"/>
                  <w:textDirection w:val="lrTb"/>
                  <w:noWrap w:val="false"/>
                </w:tcPr>
                <w:p>
                  <w:pPr>
                    <w:pStyle w:val="717"/>
                    <w:ind w:left="-113"/>
                    <w:jc w:val="both"/>
                    <w:spacing w:before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Фактический адрес: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bottom w:val="single" w:color="000000" w:sz="4" w:space="0"/>
                  </w:tcBorders>
                  <w:tcW w:w="2255" w:type="dxa"/>
                  <w:vAlign w:val="top"/>
                  <w:textDirection w:val="lrTb"/>
                  <w:noWrap w:val="false"/>
                </w:tcPr>
                <w:p>
                  <w:pPr>
                    <w:pStyle w:val="717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gridSpan w:val="2"/>
                  <w:tcBorders>
                    <w:bottom w:val="single" w:color="000000" w:sz="4" w:space="0"/>
                  </w:tcBorders>
                  <w:tcW w:w="5025" w:type="dxa"/>
                  <w:vAlign w:val="top"/>
                  <w:textDirection w:val="lrTb"/>
                  <w:noWrap w:val="false"/>
                </w:tcPr>
                <w:p>
                  <w:pPr>
                    <w:pStyle w:val="717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Тел., факс, e-mail: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tbl>
            <w:tblPr>
              <w:tblW w:w="0" w:type="auto"/>
              <w:tblInd w:w="0" w:type="dxa"/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4838"/>
            </w:tblGrid>
            <w:tr>
              <w:tblPrEx/>
              <w:trPr/>
              <w:tc>
                <w:tcPr>
                  <w:tcBorders>
                    <w:bottom w:val="single" w:color="000000" w:sz="4" w:space="0"/>
                  </w:tcBorders>
                  <w:tcW w:w="4838" w:type="dxa"/>
                  <w:vAlign w:val="top"/>
                  <w:textDirection w:val="lrTb"/>
                  <w:noWrap w:val="false"/>
                </w:tcPr>
                <w:p>
                  <w:pPr>
                    <w:pStyle w:val="717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bottom w:val="single" w:color="000000" w:sz="4" w:space="0"/>
                  </w:tcBorders>
                  <w:tcW w:w="4838" w:type="dxa"/>
                  <w:vAlign w:val="top"/>
                  <w:textDirection w:val="lrTb"/>
                  <w:noWrap w:val="false"/>
                </w:tcPr>
                <w:p>
                  <w:pPr>
                    <w:pStyle w:val="717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43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9" w:type="dxa"/>
            <w:vAlign w:val="top"/>
            <w:textDirection w:val="lrTb"/>
            <w:noWrap w:val="false"/>
          </w:tcPr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__________________/___</w:t>
            </w:r>
            <w:r>
              <w:rPr>
                <w:sz w:val="24"/>
                <w:szCs w:val="24"/>
              </w:rPr>
              <w:t xml:space="preserve">_______________ </w:t>
            </w:r>
            <w:r>
              <w:rPr>
                <w:sz w:val="24"/>
                <w:szCs w:val="24"/>
              </w:rPr>
              <w:t xml:space="preserve">/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17"/>
              <w:tabs>
                <w:tab w:val="left" w:pos="2960" w:leader="none"/>
              </w:tabs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        </w:t>
            </w:r>
            <w:r>
              <w:rPr>
                <w:sz w:val="24"/>
                <w:szCs w:val="24"/>
                <w:vertAlign w:val="superscript"/>
              </w:rPr>
              <w:t xml:space="preserve"> (подпись)</w:t>
            </w:r>
            <w:r>
              <w:rPr>
                <w:sz w:val="24"/>
                <w:szCs w:val="24"/>
                <w:vertAlign w:val="superscript"/>
              </w:rPr>
              <w:t xml:space="preserve">             (Ф.И.О., (последнее - при наличии)</w:t>
            </w:r>
            <w:r>
              <w:rPr>
                <w:sz w:val="24"/>
                <w:szCs w:val="24"/>
                <w:vertAlign w:val="superscript"/>
              </w:rPr>
              <w:t xml:space="preserve">)</w:t>
            </w:r>
            <w:r>
              <w:rPr>
                <w:sz w:val="24"/>
                <w:szCs w:val="24"/>
                <w:vertAlign w:val="superscript"/>
              </w:rPr>
            </w:r>
            <w:r>
              <w:rPr>
                <w:sz w:val="24"/>
                <w:szCs w:val="24"/>
                <w:vertAlign w:val="superscript"/>
              </w:rPr>
            </w:r>
          </w:p>
          <w:p>
            <w:pPr>
              <w:pStyle w:val="717"/>
              <w:tabs>
                <w:tab w:val="left" w:pos="296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М.П.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12" w:type="dxa"/>
            <w:vAlign w:val="top"/>
            <w:textDirection w:val="lrTb"/>
            <w:noWrap w:val="false"/>
          </w:tcPr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__________________/</w:t>
            </w:r>
            <w:r>
              <w:rPr>
                <w:sz w:val="24"/>
                <w:szCs w:val="24"/>
              </w:rPr>
              <w:t xml:space="preserve">_______________</w:t>
            </w:r>
            <w:r>
              <w:rPr>
                <w:sz w:val="24"/>
                <w:szCs w:val="24"/>
              </w:rPr>
              <w:t xml:space="preserve">/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17"/>
              <w:tabs>
                <w:tab w:val="left" w:pos="2960" w:leader="none"/>
              </w:tabs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       </w:t>
            </w:r>
            <w:r>
              <w:rPr>
                <w:sz w:val="24"/>
                <w:szCs w:val="24"/>
                <w:vertAlign w:val="superscript"/>
              </w:rPr>
              <w:t xml:space="preserve">(подпись)                (Ф.И.О., </w:t>
            </w:r>
            <w:r>
              <w:rPr>
                <w:sz w:val="24"/>
                <w:szCs w:val="24"/>
                <w:vertAlign w:val="superscript"/>
              </w:rPr>
              <w:t xml:space="preserve">(последнее - при наличии</w:t>
            </w:r>
            <w:r>
              <w:rPr>
                <w:sz w:val="24"/>
                <w:szCs w:val="24"/>
                <w:vertAlign w:val="superscript"/>
              </w:rPr>
              <w:t xml:space="preserve">))</w:t>
            </w:r>
            <w:r>
              <w:rPr>
                <w:sz w:val="24"/>
                <w:szCs w:val="24"/>
                <w:vertAlign w:val="superscript"/>
              </w:rPr>
            </w:r>
            <w:r>
              <w:rPr>
                <w:sz w:val="24"/>
                <w:szCs w:val="24"/>
                <w:vertAlign w:val="superscript"/>
              </w:rPr>
            </w:r>
          </w:p>
          <w:p>
            <w:pPr>
              <w:pStyle w:val="717"/>
              <w:tabs>
                <w:tab w:val="left" w:pos="296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М.П.</w:t>
            </w:r>
            <w:r>
              <w:rPr>
                <w:sz w:val="24"/>
                <w:szCs w:val="24"/>
              </w:rPr>
              <w:t xml:space="preserve"> (при наличии)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43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009" w:type="dxa"/>
            <w:vAlign w:val="top"/>
            <w:textDirection w:val="lrTb"/>
            <w:noWrap w:val="false"/>
          </w:tcPr>
          <w:p>
            <w:pPr>
              <w:pStyle w:val="717"/>
              <w:jc w:val="both"/>
              <w:rPr>
                <w:sz w:val="18"/>
                <w:szCs w:val="24"/>
                <w:u w:val="single"/>
              </w:rPr>
            </w:pPr>
            <w:r>
              <w:rPr>
                <w:sz w:val="18"/>
                <w:szCs w:val="24"/>
                <w:u w:val="single"/>
              </w:rPr>
            </w:r>
            <w:r>
              <w:rPr>
                <w:sz w:val="18"/>
                <w:szCs w:val="24"/>
                <w:u w:val="single"/>
              </w:rPr>
            </w:r>
            <w:r>
              <w:rPr>
                <w:sz w:val="18"/>
                <w:szCs w:val="24"/>
                <w:u w:val="single"/>
              </w:rPr>
            </w:r>
          </w:p>
          <w:p>
            <w:pPr>
              <w:pStyle w:val="717"/>
              <w:jc w:val="both"/>
              <w:spacing w:after="12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Молодой специалист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  <w:u w:val="single"/>
              </w:rPr>
            </w:r>
            <w:r>
              <w:rPr>
                <w:sz w:val="24"/>
                <w:szCs w:val="24"/>
                <w:u w:val="single"/>
              </w:rPr>
            </w:r>
          </w:p>
          <w:tbl>
            <w:tblPr>
              <w:tblW w:w="0" w:type="auto"/>
              <w:tblInd w:w="0" w:type="dxa"/>
              <w:tblBorders>
                <w:top w:val="none" w:color="000000" w:sz="0" w:space="0"/>
                <w:left w:val="none" w:color="000000" w:sz="0" w:space="0"/>
                <w:bottom w:val="single" w:color="000000" w:sz="4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4837"/>
            </w:tblGrid>
            <w:tr>
              <w:tblPrEx/>
              <w:trPr>
                <w:trHeight w:val="63"/>
              </w:trPr>
              <w:tc>
                <w:tcPr>
                  <w:tcBorders>
                    <w:bottom w:val="single" w:color="000000" w:sz="4" w:space="0"/>
                  </w:tcBorders>
                  <w:tcW w:w="4837" w:type="dxa"/>
                  <w:vAlign w:val="top"/>
                  <w:textDirection w:val="lrTb"/>
                  <w:noWrap w:val="false"/>
                </w:tcPr>
                <w:p>
                  <w:pPr>
                    <w:pStyle w:val="71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141"/>
              </w:trPr>
              <w:tc>
                <w:tcPr>
                  <w:tcBorders>
                    <w:top w:val="single" w:color="000000" w:sz="4" w:space="0"/>
                    <w:bottom w:val="single" w:color="000000" w:sz="4" w:space="0"/>
                  </w:tcBorders>
                  <w:tcW w:w="4837" w:type="dxa"/>
                  <w:vAlign w:val="top"/>
                  <w:textDirection w:val="lrTb"/>
                  <w:noWrap w:val="false"/>
                </w:tcPr>
                <w:p>
                  <w:pPr>
                    <w:pStyle w:val="71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</w:tcBorders>
                  <w:tcW w:w="4837" w:type="dxa"/>
                  <w:vAlign w:val="top"/>
                  <w:textDirection w:val="lrTb"/>
                  <w:noWrap w:val="false"/>
                </w:tcPr>
                <w:p>
                  <w:pPr>
                    <w:pStyle w:val="71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717"/>
              <w:jc w:val="center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</w:t>
            </w:r>
            <w:r>
              <w:rPr>
                <w:sz w:val="24"/>
                <w:szCs w:val="24"/>
              </w:rPr>
              <w:t xml:space="preserve">фамилия, имя, отчество (при наличии), </w:t>
            </w:r>
            <w:r>
              <w:rPr>
                <w:sz w:val="24"/>
                <w:szCs w:val="24"/>
              </w:rPr>
              <w:t xml:space="preserve">дата и место рождения)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tbl>
            <w:tblPr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846"/>
              <w:gridCol w:w="3991"/>
            </w:tblGrid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846" w:type="dxa"/>
                  <w:vAlign w:val="top"/>
                  <w:textDirection w:val="lrTb"/>
                  <w:noWrap w:val="false"/>
                </w:tcPr>
                <w:p>
                  <w:pPr>
                    <w:pStyle w:val="717"/>
                    <w:ind w:left="-11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ИНН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3991" w:type="dxa"/>
                  <w:vAlign w:val="top"/>
                  <w:textDirection w:val="lrTb"/>
                  <w:noWrap w:val="false"/>
                </w:tcPr>
                <w:p>
                  <w:pPr>
                    <w:pStyle w:val="71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7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12" w:type="dxa"/>
            <w:vAlign w:val="top"/>
            <w:textDirection w:val="lrTb"/>
            <w:noWrap w:val="false"/>
          </w:tcPr>
          <w:p>
            <w:pPr>
              <w:pStyle w:val="717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</w:r>
            <w:r>
              <w:rPr>
                <w:sz w:val="24"/>
                <w:szCs w:val="24"/>
                <w:u w:val="single"/>
              </w:rPr>
            </w:r>
            <w:r>
              <w:rPr>
                <w:sz w:val="24"/>
                <w:szCs w:val="24"/>
                <w:u w:val="single"/>
              </w:rPr>
            </w:r>
          </w:p>
        </w:tc>
      </w:tr>
      <w:tr>
        <w:tblPrEx/>
        <w:trPr>
          <w:gridAfter w:val="2"/>
          <w:trHeight w:val="2106"/>
        </w:trPr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4960" w:type="dxa"/>
            <w:vAlign w:val="top"/>
            <w:textDirection w:val="lrTb"/>
            <w:noWrap w:val="false"/>
          </w:tcPr>
          <w:p>
            <w:pPr>
              <w:pStyle w:val="717"/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документа, удостоверяющего личность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tbl>
            <w:tblPr>
              <w:tblW w:w="0" w:type="auto"/>
              <w:tblInd w:w="0" w:type="dxa"/>
              <w:tblBorders>
                <w:top w:val="none" w:color="000000" w:sz="0" w:space="0"/>
                <w:left w:val="none" w:color="000000" w:sz="0" w:space="0"/>
                <w:bottom w:val="single" w:color="000000" w:sz="4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4413"/>
            </w:tblGrid>
            <w:tr>
              <w:tblPrEx/>
              <w:trPr>
                <w:trHeight w:val="63"/>
              </w:trPr>
              <w:tc>
                <w:tcPr>
                  <w:tcBorders>
                    <w:bottom w:val="single" w:color="000000" w:sz="4" w:space="0"/>
                  </w:tcBorders>
                  <w:tcW w:w="4413" w:type="dxa"/>
                  <w:vAlign w:val="top"/>
                  <w:textDirection w:val="lrTb"/>
                  <w:noWrap w:val="false"/>
                </w:tcPr>
                <w:p>
                  <w:pPr>
                    <w:pStyle w:val="71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  <w:bottom w:val="single" w:color="000000" w:sz="4" w:space="0"/>
                  </w:tcBorders>
                  <w:tcW w:w="4413" w:type="dxa"/>
                  <w:vAlign w:val="top"/>
                  <w:textDirection w:val="lrTb"/>
                  <w:noWrap w:val="false"/>
                </w:tcPr>
                <w:p>
                  <w:pPr>
                    <w:pStyle w:val="71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000000" w:sz="4" w:space="0"/>
                  </w:tcBorders>
                  <w:tcW w:w="4413" w:type="dxa"/>
                  <w:vAlign w:val="top"/>
                  <w:textDirection w:val="lrTb"/>
                  <w:noWrap w:val="false"/>
                </w:tcPr>
                <w:p>
                  <w:pPr>
                    <w:pStyle w:val="71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717"/>
              <w:rPr>
                <w:sz w:val="10"/>
                <w:szCs w:val="24"/>
              </w:rPr>
            </w:pPr>
            <w:r>
              <w:rPr>
                <w:sz w:val="10"/>
                <w:szCs w:val="24"/>
              </w:rPr>
            </w:r>
            <w:r>
              <w:rPr>
                <w:sz w:val="10"/>
                <w:szCs w:val="24"/>
              </w:rPr>
            </w:r>
            <w:r>
              <w:rPr>
                <w:sz w:val="10"/>
                <w:szCs w:val="24"/>
              </w:rPr>
            </w:r>
          </w:p>
          <w:p>
            <w:pPr>
              <w:pStyle w:val="7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регистрации</w:t>
            </w:r>
            <w:r>
              <w:rPr>
                <w:sz w:val="24"/>
                <w:szCs w:val="24"/>
              </w:rPr>
              <w:t xml:space="preserve"> (фактический адрес)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4960" w:type="dxa"/>
            <w:vAlign w:val="top"/>
            <w:textDirection w:val="lrTb"/>
            <w:noWrap w:val="false"/>
          </w:tcPr>
          <w:p>
            <w:pPr>
              <w:pStyle w:val="7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</w:trPr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4960" w:type="dxa"/>
            <w:vAlign w:val="top"/>
            <w:textDirection w:val="lrTb"/>
            <w:noWrap w:val="false"/>
          </w:tcPr>
          <w:p>
            <w:pPr>
              <w:pStyle w:val="7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  <w:trHeight w:val="73"/>
        </w:trPr>
        <w:tc>
          <w:tcPr>
            <w:gridSpan w:val="3"/>
            <w:tcBorders>
              <w:top w:val="single" w:color="000000" w:sz="4" w:space="0"/>
            </w:tcBorders>
            <w:tcW w:w="4960" w:type="dxa"/>
            <w:vAlign w:val="top"/>
            <w:textDirection w:val="lrTb"/>
            <w:noWrap w:val="false"/>
          </w:tcPr>
          <w:p>
            <w:pPr>
              <w:pStyle w:val="717"/>
              <w:jc w:val="both"/>
              <w:rPr>
                <w:sz w:val="8"/>
                <w:szCs w:val="24"/>
              </w:rPr>
            </w:pPr>
            <w:r>
              <w:rPr>
                <w:sz w:val="8"/>
                <w:szCs w:val="24"/>
              </w:rPr>
            </w:r>
            <w:r>
              <w:rPr>
                <w:sz w:val="8"/>
                <w:szCs w:val="24"/>
              </w:rPr>
            </w:r>
            <w:r>
              <w:rPr>
                <w:sz w:val="8"/>
                <w:szCs w:val="24"/>
              </w:rPr>
            </w:r>
          </w:p>
        </w:tc>
      </w:tr>
      <w:tr>
        <w:tblPrEx/>
        <w:trPr>
          <w:gridAfter w:val="2"/>
          <w:trHeight w:val="73"/>
        </w:trPr>
        <w:tc>
          <w:tcPr>
            <w:gridSpan w:val="2"/>
            <w:tcW w:w="1167" w:type="dxa"/>
            <w:vAlign w:val="top"/>
            <w:textDirection w:val="lrTb"/>
            <w:noWrap w:val="false"/>
          </w:tcPr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793" w:type="dxa"/>
            <w:vAlign w:val="top"/>
            <w:textDirection w:val="lrTb"/>
            <w:noWrap w:val="false"/>
          </w:tcPr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  <w:trHeight w:val="73"/>
        </w:trPr>
        <w:tc>
          <w:tcPr>
            <w:tcW w:w="1101" w:type="dxa"/>
            <w:vAlign w:val="top"/>
            <w:textDirection w:val="lrTb"/>
            <w:noWrap w:val="false"/>
          </w:tcPr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3859" w:type="dxa"/>
            <w:vAlign w:val="top"/>
            <w:textDirection w:val="lrTb"/>
            <w:noWrap w:val="false"/>
          </w:tcPr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  <w:trHeight w:val="73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0" w:type="dxa"/>
            <w:vAlign w:val="top"/>
            <w:textDirection w:val="lrTb"/>
            <w:noWrap w:val="false"/>
          </w:tcPr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Лицевой счет, реквизиты банка: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  <w:trHeight w:val="73"/>
        </w:trPr>
        <w:tc>
          <w:tcPr>
            <w:gridSpan w:val="3"/>
            <w:tcBorders>
              <w:bottom w:val="single" w:color="000000" w:sz="4" w:space="0"/>
            </w:tcBorders>
            <w:tcW w:w="4960" w:type="dxa"/>
            <w:vAlign w:val="top"/>
            <w:textDirection w:val="lrTb"/>
            <w:noWrap w:val="false"/>
          </w:tcPr>
          <w:p>
            <w:pPr>
              <w:pStyle w:val="717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</w:r>
          </w:p>
        </w:tc>
      </w:tr>
      <w:tr>
        <w:tblPrEx/>
        <w:trPr>
          <w:gridAfter w:val="2"/>
          <w:trHeight w:val="73"/>
        </w:trPr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4960" w:type="dxa"/>
            <w:vAlign w:val="top"/>
            <w:textDirection w:val="lrTb"/>
            <w:noWrap w:val="false"/>
          </w:tcPr>
          <w:p>
            <w:pPr>
              <w:pStyle w:val="7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717"/>
        <w:jc w:val="both"/>
        <w:rPr>
          <w:sz w:val="18"/>
          <w:szCs w:val="24"/>
        </w:rPr>
      </w:pPr>
      <w:r>
        <w:rPr>
          <w:sz w:val="18"/>
          <w:szCs w:val="24"/>
        </w:rPr>
      </w:r>
      <w:r>
        <w:rPr>
          <w:sz w:val="18"/>
          <w:szCs w:val="24"/>
        </w:rPr>
      </w:r>
      <w:r>
        <w:rPr>
          <w:sz w:val="18"/>
          <w:szCs w:val="24"/>
        </w:rPr>
      </w:r>
    </w:p>
    <w:p>
      <w:pPr>
        <w:pStyle w:val="7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__________________/_______________</w:t>
      </w:r>
      <w:r>
        <w:rPr>
          <w:sz w:val="24"/>
          <w:szCs w:val="24"/>
        </w:rPr>
        <w:t xml:space="preserve">____</w:t>
      </w:r>
      <w:r>
        <w:rPr>
          <w:sz w:val="24"/>
          <w:szCs w:val="24"/>
        </w:rPr>
        <w:t xml:space="preserve">/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7"/>
        <w:tabs>
          <w:tab w:val="left" w:pos="2960" w:leader="none"/>
        </w:tabs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(подпись)            </w:t>
      </w:r>
      <w:r>
        <w:rPr>
          <w:sz w:val="24"/>
          <w:szCs w:val="24"/>
          <w:vertAlign w:val="superscript"/>
        </w:rPr>
        <w:t xml:space="preserve">         </w:t>
      </w:r>
      <w:r>
        <w:rPr>
          <w:sz w:val="24"/>
          <w:szCs w:val="24"/>
          <w:vertAlign w:val="superscript"/>
        </w:rPr>
        <w:t xml:space="preserve"> (Ф.И.О., (последнее - при наличии))</w:t>
      </w:r>
      <w:r>
        <w:rPr>
          <w:sz w:val="24"/>
          <w:szCs w:val="24"/>
          <w:vertAlign w:val="superscript"/>
        </w:rPr>
      </w:r>
      <w:r>
        <w:rPr>
          <w:sz w:val="24"/>
          <w:szCs w:val="24"/>
          <w:vertAlign w:val="superscript"/>
        </w:rPr>
      </w:r>
    </w:p>
    <w:p>
      <w:pPr>
        <w:ind w:firstLine="709"/>
        <w:jc w:val="left"/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993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  <w:jc w:val="center"/>
    </w:pPr>
    <w:r/>
    <w:r/>
  </w:p>
  <w:p>
    <w:pPr>
      <w:pStyle w:val="74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75"/>
        <w:tabs>
          <w:tab w:val="num" w:pos="108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7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2">
    <w:name w:val="Heading 1 Char"/>
    <w:basedOn w:val="727"/>
    <w:link w:val="718"/>
    <w:uiPriority w:val="9"/>
    <w:rPr>
      <w:rFonts w:ascii="Arial" w:hAnsi="Arial" w:eastAsia="Arial" w:cs="Arial"/>
      <w:sz w:val="40"/>
      <w:szCs w:val="40"/>
    </w:rPr>
  </w:style>
  <w:style w:type="character" w:styleId="703">
    <w:name w:val="Heading 2 Char"/>
    <w:basedOn w:val="727"/>
    <w:link w:val="719"/>
    <w:uiPriority w:val="9"/>
    <w:rPr>
      <w:rFonts w:ascii="Arial" w:hAnsi="Arial" w:eastAsia="Arial" w:cs="Arial"/>
      <w:sz w:val="34"/>
    </w:rPr>
  </w:style>
  <w:style w:type="character" w:styleId="704">
    <w:name w:val="Heading 3 Char"/>
    <w:basedOn w:val="727"/>
    <w:link w:val="720"/>
    <w:uiPriority w:val="9"/>
    <w:rPr>
      <w:rFonts w:ascii="Arial" w:hAnsi="Arial" w:eastAsia="Arial" w:cs="Arial"/>
      <w:sz w:val="30"/>
      <w:szCs w:val="30"/>
    </w:rPr>
  </w:style>
  <w:style w:type="character" w:styleId="705">
    <w:name w:val="Heading 4 Char"/>
    <w:basedOn w:val="727"/>
    <w:link w:val="721"/>
    <w:uiPriority w:val="9"/>
    <w:rPr>
      <w:rFonts w:ascii="Arial" w:hAnsi="Arial" w:eastAsia="Arial" w:cs="Arial"/>
      <w:b/>
      <w:bCs/>
      <w:sz w:val="26"/>
      <w:szCs w:val="26"/>
    </w:rPr>
  </w:style>
  <w:style w:type="character" w:styleId="706">
    <w:name w:val="Heading 5 Char"/>
    <w:basedOn w:val="727"/>
    <w:link w:val="722"/>
    <w:uiPriority w:val="9"/>
    <w:rPr>
      <w:rFonts w:ascii="Arial" w:hAnsi="Arial" w:eastAsia="Arial" w:cs="Arial"/>
      <w:b/>
      <w:bCs/>
      <w:sz w:val="24"/>
      <w:szCs w:val="24"/>
    </w:rPr>
  </w:style>
  <w:style w:type="character" w:styleId="707">
    <w:name w:val="Heading 6 Char"/>
    <w:basedOn w:val="727"/>
    <w:link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08">
    <w:name w:val="Heading 7 Char"/>
    <w:basedOn w:val="727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8 Char"/>
    <w:basedOn w:val="727"/>
    <w:link w:val="725"/>
    <w:uiPriority w:val="9"/>
    <w:rPr>
      <w:rFonts w:ascii="Arial" w:hAnsi="Arial" w:eastAsia="Arial" w:cs="Arial"/>
      <w:i/>
      <w:iCs/>
      <w:sz w:val="22"/>
      <w:szCs w:val="22"/>
    </w:rPr>
  </w:style>
  <w:style w:type="character" w:styleId="710">
    <w:name w:val="Heading 9 Char"/>
    <w:basedOn w:val="727"/>
    <w:link w:val="726"/>
    <w:uiPriority w:val="9"/>
    <w:rPr>
      <w:rFonts w:ascii="Arial" w:hAnsi="Arial" w:eastAsia="Arial" w:cs="Arial"/>
      <w:i/>
      <w:iCs/>
      <w:sz w:val="21"/>
      <w:szCs w:val="21"/>
    </w:rPr>
  </w:style>
  <w:style w:type="character" w:styleId="711">
    <w:name w:val="Title Char"/>
    <w:basedOn w:val="727"/>
    <w:link w:val="741"/>
    <w:uiPriority w:val="10"/>
    <w:rPr>
      <w:sz w:val="48"/>
      <w:szCs w:val="48"/>
    </w:rPr>
  </w:style>
  <w:style w:type="character" w:styleId="712">
    <w:name w:val="Subtitle Char"/>
    <w:basedOn w:val="727"/>
    <w:link w:val="743"/>
    <w:uiPriority w:val="11"/>
    <w:rPr>
      <w:sz w:val="24"/>
      <w:szCs w:val="24"/>
    </w:rPr>
  </w:style>
  <w:style w:type="character" w:styleId="713">
    <w:name w:val="Quote Char"/>
    <w:link w:val="745"/>
    <w:uiPriority w:val="29"/>
    <w:rPr>
      <w:i/>
    </w:rPr>
  </w:style>
  <w:style w:type="character" w:styleId="714">
    <w:name w:val="Intense Quote Char"/>
    <w:link w:val="747"/>
    <w:uiPriority w:val="30"/>
    <w:rPr>
      <w:i/>
    </w:rPr>
  </w:style>
  <w:style w:type="character" w:styleId="715">
    <w:name w:val="Footnote Text Char"/>
    <w:link w:val="882"/>
    <w:uiPriority w:val="99"/>
    <w:rPr>
      <w:sz w:val="18"/>
    </w:rPr>
  </w:style>
  <w:style w:type="character" w:styleId="716">
    <w:name w:val="Endnote Text Char"/>
    <w:link w:val="885"/>
    <w:uiPriority w:val="99"/>
    <w:rPr>
      <w:sz w:val="20"/>
    </w:rPr>
  </w:style>
  <w:style w:type="paragraph" w:styleId="717" w:default="1">
    <w:name w:val="Normal"/>
    <w:qFormat/>
    <w:rPr>
      <w:sz w:val="24"/>
      <w:szCs w:val="24"/>
      <w:lang w:eastAsia="ru-RU"/>
    </w:rPr>
  </w:style>
  <w:style w:type="paragraph" w:styleId="718">
    <w:name w:val="Heading 1"/>
    <w:basedOn w:val="717"/>
    <w:next w:val="717"/>
    <w:link w:val="730"/>
    <w:qFormat/>
    <w:pPr>
      <w:jc w:val="center"/>
      <w:keepNext/>
      <w:outlineLvl w:val="0"/>
    </w:pPr>
    <w:rPr>
      <w:sz w:val="28"/>
      <w:szCs w:val="20"/>
    </w:rPr>
  </w:style>
  <w:style w:type="paragraph" w:styleId="719">
    <w:name w:val="Heading 2"/>
    <w:basedOn w:val="717"/>
    <w:next w:val="717"/>
    <w:link w:val="73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20">
    <w:name w:val="Heading 3"/>
    <w:basedOn w:val="717"/>
    <w:next w:val="717"/>
    <w:link w:val="732"/>
    <w:qFormat/>
    <w:pPr>
      <w:keepNext/>
      <w:outlineLvl w:val="2"/>
    </w:pPr>
    <w:rPr>
      <w:b/>
      <w:sz w:val="32"/>
      <w:szCs w:val="20"/>
    </w:rPr>
  </w:style>
  <w:style w:type="paragraph" w:styleId="721">
    <w:name w:val="Heading 4"/>
    <w:basedOn w:val="717"/>
    <w:next w:val="717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717"/>
    <w:next w:val="717"/>
    <w:link w:val="73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23">
    <w:name w:val="Heading 6"/>
    <w:basedOn w:val="717"/>
    <w:next w:val="717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717"/>
    <w:next w:val="717"/>
    <w:link w:val="73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5">
    <w:name w:val="Heading 8"/>
    <w:basedOn w:val="717"/>
    <w:next w:val="717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6">
    <w:name w:val="Heading 9"/>
    <w:basedOn w:val="717"/>
    <w:next w:val="717"/>
    <w:link w:val="7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 w:default="1">
    <w:name w:val="Default Paragraph Font"/>
    <w:uiPriority w:val="1"/>
    <w:semiHidden/>
    <w:unhideWhenUsed/>
  </w:style>
  <w:style w:type="table" w:styleId="7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9" w:default="1">
    <w:name w:val="No List"/>
    <w:uiPriority w:val="99"/>
    <w:semiHidden/>
    <w:unhideWhenUsed/>
  </w:style>
  <w:style w:type="character" w:styleId="730" w:customStyle="1">
    <w:name w:val="Заголовок 1 Знак"/>
    <w:link w:val="718"/>
    <w:uiPriority w:val="9"/>
    <w:rPr>
      <w:rFonts w:ascii="Arial" w:hAnsi="Arial" w:eastAsia="Arial" w:cs="Arial"/>
      <w:sz w:val="40"/>
      <w:szCs w:val="40"/>
    </w:rPr>
  </w:style>
  <w:style w:type="character" w:styleId="731" w:customStyle="1">
    <w:name w:val="Заголовок 2 Знак"/>
    <w:link w:val="719"/>
    <w:uiPriority w:val="9"/>
    <w:rPr>
      <w:rFonts w:ascii="Arial" w:hAnsi="Arial" w:eastAsia="Arial" w:cs="Arial"/>
      <w:sz w:val="34"/>
    </w:rPr>
  </w:style>
  <w:style w:type="character" w:styleId="732" w:customStyle="1">
    <w:name w:val="Заголовок 3 Знак"/>
    <w:link w:val="720"/>
    <w:uiPriority w:val="9"/>
    <w:rPr>
      <w:rFonts w:ascii="Arial" w:hAnsi="Arial" w:eastAsia="Arial" w:cs="Arial"/>
      <w:sz w:val="30"/>
      <w:szCs w:val="30"/>
    </w:rPr>
  </w:style>
  <w:style w:type="character" w:styleId="733" w:customStyle="1">
    <w:name w:val="Заголовок 4 Знак"/>
    <w:link w:val="721"/>
    <w:uiPriority w:val="9"/>
    <w:rPr>
      <w:rFonts w:ascii="Arial" w:hAnsi="Arial" w:eastAsia="Arial" w:cs="Arial"/>
      <w:b/>
      <w:bCs/>
      <w:sz w:val="26"/>
      <w:szCs w:val="26"/>
    </w:rPr>
  </w:style>
  <w:style w:type="character" w:styleId="734" w:customStyle="1">
    <w:name w:val="Заголовок 5 Знак"/>
    <w:link w:val="722"/>
    <w:uiPriority w:val="9"/>
    <w:rPr>
      <w:rFonts w:ascii="Arial" w:hAnsi="Arial" w:eastAsia="Arial" w:cs="Arial"/>
      <w:b/>
      <w:bCs/>
      <w:sz w:val="24"/>
      <w:szCs w:val="24"/>
    </w:rPr>
  </w:style>
  <w:style w:type="character" w:styleId="735" w:customStyle="1">
    <w:name w:val="Заголовок 6 Знак"/>
    <w:link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36" w:customStyle="1">
    <w:name w:val="Заголовок 7 Знак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7" w:customStyle="1">
    <w:name w:val="Заголовок 8 Знак"/>
    <w:link w:val="725"/>
    <w:uiPriority w:val="9"/>
    <w:rPr>
      <w:rFonts w:ascii="Arial" w:hAnsi="Arial" w:eastAsia="Arial" w:cs="Arial"/>
      <w:i/>
      <w:iCs/>
      <w:sz w:val="22"/>
      <w:szCs w:val="22"/>
    </w:rPr>
  </w:style>
  <w:style w:type="character" w:styleId="738" w:customStyle="1">
    <w:name w:val="Заголовок 9 Знак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39">
    <w:name w:val="List Paragraph"/>
    <w:basedOn w:val="717"/>
    <w:uiPriority w:val="34"/>
    <w:qFormat/>
    <w:pPr>
      <w:contextualSpacing/>
      <w:ind w:left="720"/>
    </w:pPr>
  </w:style>
  <w:style w:type="paragraph" w:styleId="740">
    <w:name w:val="No Spacing"/>
    <w:uiPriority w:val="1"/>
    <w:qFormat/>
  </w:style>
  <w:style w:type="paragraph" w:styleId="741">
    <w:name w:val="Title"/>
    <w:basedOn w:val="717"/>
    <w:next w:val="717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 w:customStyle="1">
    <w:name w:val="Заголовок Знак"/>
    <w:link w:val="741"/>
    <w:uiPriority w:val="10"/>
    <w:rPr>
      <w:sz w:val="48"/>
      <w:szCs w:val="48"/>
    </w:rPr>
  </w:style>
  <w:style w:type="paragraph" w:styleId="743">
    <w:name w:val="Subtitle"/>
    <w:basedOn w:val="717"/>
    <w:next w:val="717"/>
    <w:link w:val="744"/>
    <w:uiPriority w:val="11"/>
    <w:qFormat/>
    <w:pPr>
      <w:spacing w:before="200" w:after="200"/>
    </w:pPr>
  </w:style>
  <w:style w:type="character" w:styleId="744" w:customStyle="1">
    <w:name w:val="Подзаголовок Знак"/>
    <w:link w:val="743"/>
    <w:uiPriority w:val="11"/>
    <w:rPr>
      <w:sz w:val="24"/>
      <w:szCs w:val="24"/>
    </w:rPr>
  </w:style>
  <w:style w:type="paragraph" w:styleId="745">
    <w:name w:val="Quote"/>
    <w:basedOn w:val="717"/>
    <w:next w:val="717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Цитата 2 Знак"/>
    <w:link w:val="745"/>
    <w:uiPriority w:val="29"/>
    <w:rPr>
      <w:i/>
    </w:rPr>
  </w:style>
  <w:style w:type="paragraph" w:styleId="747">
    <w:name w:val="Intense Quote"/>
    <w:basedOn w:val="717"/>
    <w:next w:val="717"/>
    <w:link w:val="7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Выделенная цитата Знак"/>
    <w:link w:val="747"/>
    <w:uiPriority w:val="30"/>
    <w:rPr>
      <w:i/>
    </w:rPr>
  </w:style>
  <w:style w:type="paragraph" w:styleId="749">
    <w:name w:val="Header"/>
    <w:basedOn w:val="717"/>
    <w:link w:val="899"/>
    <w:uiPriority w:val="99"/>
    <w:pPr>
      <w:tabs>
        <w:tab w:val="center" w:pos="4677" w:leader="none"/>
        <w:tab w:val="right" w:pos="9355" w:leader="none"/>
      </w:tabs>
    </w:pPr>
  </w:style>
  <w:style w:type="character" w:styleId="750" w:customStyle="1">
    <w:name w:val="Header Char"/>
    <w:uiPriority w:val="99"/>
  </w:style>
  <w:style w:type="paragraph" w:styleId="751">
    <w:name w:val="Footer"/>
    <w:basedOn w:val="717"/>
    <w:link w:val="900"/>
    <w:pPr>
      <w:tabs>
        <w:tab w:val="center" w:pos="4677" w:leader="none"/>
        <w:tab w:val="right" w:pos="9355" w:leader="none"/>
      </w:tabs>
    </w:pPr>
  </w:style>
  <w:style w:type="character" w:styleId="752" w:customStyle="1">
    <w:name w:val="Footer Char"/>
    <w:uiPriority w:val="99"/>
  </w:style>
  <w:style w:type="paragraph" w:styleId="753">
    <w:name w:val="Caption"/>
    <w:basedOn w:val="717"/>
    <w:next w:val="7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4" w:customStyle="1">
    <w:name w:val="Caption Char"/>
    <w:uiPriority w:val="99"/>
  </w:style>
  <w:style w:type="table" w:styleId="755">
    <w:name w:val="Table Grid"/>
    <w:basedOn w:val="728"/>
    <w:uiPriority w:val="59"/>
    <w:tblPr/>
  </w:style>
  <w:style w:type="table" w:styleId="75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2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0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7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4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5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1">
    <w:name w:val="Hyperlink"/>
    <w:unhideWhenUsed/>
    <w:rPr>
      <w:color w:val="0066cc"/>
      <w:u w:val="single"/>
    </w:rPr>
  </w:style>
  <w:style w:type="paragraph" w:styleId="882">
    <w:name w:val="footnote text"/>
    <w:basedOn w:val="717"/>
    <w:link w:val="883"/>
    <w:uiPriority w:val="99"/>
    <w:semiHidden/>
    <w:unhideWhenUsed/>
    <w:pPr>
      <w:spacing w:after="40"/>
    </w:pPr>
    <w:rPr>
      <w:sz w:val="18"/>
    </w:rPr>
  </w:style>
  <w:style w:type="character" w:styleId="883" w:customStyle="1">
    <w:name w:val="Текст сноски Знак"/>
    <w:link w:val="882"/>
    <w:uiPriority w:val="99"/>
    <w:rPr>
      <w:sz w:val="18"/>
    </w:rPr>
  </w:style>
  <w:style w:type="character" w:styleId="884">
    <w:name w:val="footnote reference"/>
    <w:uiPriority w:val="99"/>
    <w:unhideWhenUsed/>
    <w:rPr>
      <w:vertAlign w:val="superscript"/>
    </w:rPr>
  </w:style>
  <w:style w:type="paragraph" w:styleId="885">
    <w:name w:val="endnote text"/>
    <w:basedOn w:val="717"/>
    <w:link w:val="886"/>
    <w:uiPriority w:val="99"/>
    <w:semiHidden/>
    <w:unhideWhenUsed/>
    <w:rPr>
      <w:sz w:val="20"/>
    </w:rPr>
  </w:style>
  <w:style w:type="character" w:styleId="886" w:customStyle="1">
    <w:name w:val="Текст концевой сноски Знак"/>
    <w:link w:val="885"/>
    <w:uiPriority w:val="99"/>
    <w:rPr>
      <w:sz w:val="20"/>
    </w:rPr>
  </w:style>
  <w:style w:type="character" w:styleId="887">
    <w:name w:val="endnote reference"/>
    <w:uiPriority w:val="99"/>
    <w:semiHidden/>
    <w:unhideWhenUsed/>
    <w:rPr>
      <w:vertAlign w:val="superscript"/>
    </w:rPr>
  </w:style>
  <w:style w:type="paragraph" w:styleId="888">
    <w:name w:val="toc 1"/>
    <w:basedOn w:val="717"/>
    <w:next w:val="717"/>
    <w:uiPriority w:val="39"/>
    <w:unhideWhenUsed/>
    <w:pPr>
      <w:spacing w:after="57"/>
    </w:pPr>
  </w:style>
  <w:style w:type="paragraph" w:styleId="889">
    <w:name w:val="toc 2"/>
    <w:basedOn w:val="717"/>
    <w:next w:val="717"/>
    <w:uiPriority w:val="39"/>
    <w:unhideWhenUsed/>
    <w:pPr>
      <w:ind w:left="283"/>
      <w:spacing w:after="57"/>
    </w:pPr>
  </w:style>
  <w:style w:type="paragraph" w:styleId="890">
    <w:name w:val="toc 3"/>
    <w:basedOn w:val="717"/>
    <w:next w:val="717"/>
    <w:uiPriority w:val="39"/>
    <w:unhideWhenUsed/>
    <w:pPr>
      <w:ind w:left="567"/>
      <w:spacing w:after="57"/>
    </w:pPr>
  </w:style>
  <w:style w:type="paragraph" w:styleId="891">
    <w:name w:val="toc 4"/>
    <w:basedOn w:val="717"/>
    <w:next w:val="717"/>
    <w:uiPriority w:val="39"/>
    <w:unhideWhenUsed/>
    <w:pPr>
      <w:ind w:left="850"/>
      <w:spacing w:after="57"/>
    </w:pPr>
  </w:style>
  <w:style w:type="paragraph" w:styleId="892">
    <w:name w:val="toc 5"/>
    <w:basedOn w:val="717"/>
    <w:next w:val="717"/>
    <w:uiPriority w:val="39"/>
    <w:unhideWhenUsed/>
    <w:pPr>
      <w:ind w:left="1134"/>
      <w:spacing w:after="57"/>
    </w:pPr>
  </w:style>
  <w:style w:type="paragraph" w:styleId="893">
    <w:name w:val="toc 6"/>
    <w:basedOn w:val="717"/>
    <w:next w:val="717"/>
    <w:uiPriority w:val="39"/>
    <w:unhideWhenUsed/>
    <w:pPr>
      <w:ind w:left="1417"/>
      <w:spacing w:after="57"/>
    </w:pPr>
  </w:style>
  <w:style w:type="paragraph" w:styleId="894">
    <w:name w:val="toc 7"/>
    <w:basedOn w:val="717"/>
    <w:next w:val="717"/>
    <w:uiPriority w:val="39"/>
    <w:unhideWhenUsed/>
    <w:pPr>
      <w:ind w:left="1701"/>
      <w:spacing w:after="57"/>
    </w:pPr>
  </w:style>
  <w:style w:type="paragraph" w:styleId="895">
    <w:name w:val="toc 8"/>
    <w:basedOn w:val="717"/>
    <w:next w:val="717"/>
    <w:uiPriority w:val="39"/>
    <w:unhideWhenUsed/>
    <w:pPr>
      <w:ind w:left="1984"/>
      <w:spacing w:after="57"/>
    </w:pPr>
  </w:style>
  <w:style w:type="paragraph" w:styleId="896">
    <w:name w:val="toc 9"/>
    <w:basedOn w:val="717"/>
    <w:next w:val="717"/>
    <w:uiPriority w:val="39"/>
    <w:unhideWhenUsed/>
    <w:pPr>
      <w:ind w:left="2268"/>
      <w:spacing w:after="57"/>
    </w:pPr>
  </w:style>
  <w:style w:type="paragraph" w:styleId="897">
    <w:name w:val="TOC Heading"/>
    <w:uiPriority w:val="39"/>
    <w:unhideWhenUsed/>
  </w:style>
  <w:style w:type="paragraph" w:styleId="898">
    <w:name w:val="table of figures"/>
    <w:basedOn w:val="717"/>
    <w:next w:val="717"/>
    <w:uiPriority w:val="99"/>
    <w:unhideWhenUsed/>
  </w:style>
  <w:style w:type="character" w:styleId="899" w:customStyle="1">
    <w:name w:val="Верхний колонтитул Знак"/>
    <w:link w:val="749"/>
    <w:uiPriority w:val="99"/>
    <w:rPr>
      <w:sz w:val="24"/>
      <w:szCs w:val="24"/>
    </w:rPr>
  </w:style>
  <w:style w:type="character" w:styleId="900" w:customStyle="1">
    <w:name w:val="Нижний колонтитул Знак"/>
    <w:link w:val="751"/>
    <w:rPr>
      <w:sz w:val="24"/>
      <w:szCs w:val="24"/>
    </w:rPr>
  </w:style>
  <w:style w:type="paragraph" w:styleId="901">
    <w:name w:val="Balloon Text"/>
    <w:basedOn w:val="717"/>
    <w:link w:val="902"/>
    <w:rPr>
      <w:rFonts w:ascii="Tahoma" w:hAnsi="Tahoma" w:cs="Tahoma"/>
      <w:sz w:val="16"/>
      <w:szCs w:val="16"/>
    </w:rPr>
  </w:style>
  <w:style w:type="character" w:styleId="902" w:customStyle="1">
    <w:name w:val="Текст выноски Знак"/>
    <w:link w:val="901"/>
    <w:rPr>
      <w:rFonts w:ascii="Tahoma" w:hAnsi="Tahoma" w:cs="Tahoma"/>
      <w:sz w:val="16"/>
      <w:szCs w:val="16"/>
    </w:rPr>
  </w:style>
  <w:style w:type="paragraph" w:styleId="903" w:customStyle="1">
    <w:name w:val="ConsPlusCell"/>
    <w:uiPriority w:val="99"/>
    <w:pPr>
      <w:widowControl w:val="off"/>
    </w:pPr>
    <w:rPr>
      <w:sz w:val="28"/>
      <w:szCs w:val="28"/>
      <w:lang w:eastAsia="ru-RU"/>
    </w:rPr>
  </w:style>
  <w:style w:type="paragraph" w:styleId="904" w:customStyle="1">
    <w:name w:val="ConsPlusTitle"/>
    <w:pPr>
      <w:widowControl w:val="off"/>
    </w:pPr>
    <w:rPr>
      <w:b/>
      <w:sz w:val="28"/>
      <w:lang w:eastAsia="ru-RU"/>
    </w:rPr>
  </w:style>
  <w:style w:type="paragraph" w:styleId="905" w:customStyle="1">
    <w:name w:val="ConsPlusNormal"/>
    <w:pPr>
      <w:widowControl w:val="off"/>
    </w:pPr>
    <w:rPr>
      <w:sz w:val="28"/>
      <w:lang w:eastAsia="ru-RU"/>
    </w:rPr>
  </w:style>
  <w:style w:type="paragraph" w:styleId="906">
    <w:name w:val="annotation text"/>
    <w:basedOn w:val="717"/>
    <w:link w:val="907"/>
    <w:uiPriority w:val="99"/>
    <w:unhideWhenUsed/>
    <w:pPr>
      <w:spacing w:after="160"/>
    </w:pPr>
    <w:rPr>
      <w:rFonts w:ascii="Calibri" w:hAnsi="Calibri" w:eastAsia="Calibri"/>
      <w:sz w:val="20"/>
      <w:szCs w:val="20"/>
      <w:lang w:eastAsia="en-US"/>
    </w:rPr>
  </w:style>
  <w:style w:type="character" w:styleId="907" w:customStyle="1">
    <w:name w:val="Текст примечания Знак"/>
    <w:link w:val="906"/>
    <w:uiPriority w:val="99"/>
    <w:rPr>
      <w:rFonts w:ascii="Calibri" w:hAnsi="Calibri" w:eastAsia="Calibri"/>
      <w:lang w:eastAsia="en-US"/>
    </w:rPr>
  </w:style>
  <w:style w:type="paragraph" w:styleId="908" w:customStyle="1">
    <w:name w:val="Style7"/>
    <w:basedOn w:val="717"/>
    <w:pPr>
      <w:jc w:val="both"/>
      <w:spacing w:line="269" w:lineRule="exact"/>
      <w:widowControl w:val="off"/>
    </w:pPr>
  </w:style>
  <w:style w:type="character" w:styleId="909" w:customStyle="1">
    <w:name w:val="Font Style33"/>
    <w:rPr>
      <w:rFonts w:ascii="Times New Roman" w:hAnsi="Times New Roman" w:cs="Times New Roman"/>
      <w:color w:val="000000"/>
      <w:sz w:val="20"/>
      <w:szCs w:val="20"/>
    </w:rPr>
  </w:style>
  <w:style w:type="paragraph" w:styleId="910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Relationship Id="rId12" Type="http://schemas.openxmlformats.org/officeDocument/2006/relationships/hyperlink" Target="https://login.consultant.ru/link/?req=doc&amp;base=RLAW049&amp;n=165623&amp;dst=100017" TargetMode="External"/><Relationship Id="rId13" Type="http://schemas.openxmlformats.org/officeDocument/2006/relationships/hyperlink" Target="https://login.consultant.ru/link/?req=doc&amp;base=RLAW049&amp;n=165623&amp;dst=100039" TargetMode="External"/><Relationship Id="rId14" Type="http://schemas.openxmlformats.org/officeDocument/2006/relationships/hyperlink" Target="https://login.consultant.ru/link/?req=doc&amp;base=LAW&amp;n=426999" TargetMode="External"/><Relationship Id="rId15" Type="http://schemas.openxmlformats.org/officeDocument/2006/relationships/hyperlink" Target="https://login.consultant.ru/link/?req=doc&amp;base=LAW&amp;n=487135&amp;dst=118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shet</dc:creator>
  <cp:revision>10</cp:revision>
  <dcterms:created xsi:type="dcterms:W3CDTF">2025-02-04T05:49:00Z</dcterms:created>
  <dcterms:modified xsi:type="dcterms:W3CDTF">2025-04-09T02:02:54Z</dcterms:modified>
  <cp:version>1048576</cp:version>
</cp:coreProperties>
</file>