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386"/>
        <w:gridCol w:w="2818"/>
        <w:gridCol w:w="266"/>
        <w:gridCol w:w="859"/>
        <w:gridCol w:w="859"/>
        <w:gridCol w:w="1590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0700" cy="660400"/>
                      <wp:effectExtent l="4762" t="4762" r="4762" b="4762"/>
                      <wp:docPr id="1" name="_x0000_i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3127737" name="_x0000_i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0699" cy="6603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00pt;height:52.00pt;mso-wrap-distance-left:0.00pt;mso-wrap-distance-top:0.00pt;mso-wrap-distance-right:0.00pt;mso-wrap-distance-bottom:0.00pt;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eastAsia="Times New Roman"/>
                <w:sz w:val="28"/>
                <w:szCs w:val="20"/>
              </w:rPr>
            </w:r>
            <w:r>
              <w:rPr>
                <w:rFonts w:eastAsia="Times New Roman"/>
                <w:sz w:val="28"/>
                <w:szCs w:val="20"/>
              </w:rPr>
            </w:r>
          </w:p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</w:r>
            <w:r>
              <w:rPr>
                <w:rFonts w:eastAsia="Times New Roman"/>
                <w:sz w:val="2"/>
                <w:szCs w:val="2"/>
              </w:rPr>
            </w:r>
            <w:r>
              <w:rPr>
                <w:rFonts w:eastAsia="Times New Roman"/>
                <w:sz w:val="2"/>
                <w:szCs w:val="2"/>
              </w:rPr>
            </w:r>
          </w:p>
          <w:p>
            <w:pPr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sz w:val="2"/>
                <w:szCs w:val="2"/>
              </w:rPr>
            </w:r>
            <w:r>
              <w:rPr>
                <w:rFonts w:eastAsia="Times New Roman"/>
                <w:sz w:val="2"/>
                <w:szCs w:val="2"/>
              </w:rPr>
            </w:r>
            <w:r>
              <w:rPr>
                <w:rFonts w:eastAsia="Times New Roman"/>
                <w:sz w:val="2"/>
                <w:szCs w:val="2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rFonts w:eastAsia="Times New Roman"/>
                <w:b/>
                <w:sz w:val="28"/>
                <w:szCs w:val="28"/>
              </w:rPr>
            </w:r>
            <w:r>
              <w:rPr>
                <w:rFonts w:eastAsia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85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8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25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9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ПРИКАЗ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85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_____________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8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8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_____________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85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8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г. Новосибирск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8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</w:tbl>
    <w:p>
      <w:pPr>
        <w:widowControl w:val="off"/>
        <w:rPr>
          <w:rFonts w:eastAsia="Times New Roman"/>
          <w:b/>
          <w:sz w:val="28"/>
          <w:szCs w:val="28"/>
        </w:rPr>
        <w:outlineLvl w:val="0"/>
      </w:pP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center"/>
        <w:widowControl w:val="o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маршрутизации граждан старше 15 лет, проживающих на территории Новосибирской области, при инфекционных заболеваниях в государственные медицинские организации Новосибирской области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совершенствования организации и повышения качества оказания медицинской помощи гражданам старше 15 лет, при инфекционных заболеваниях на территории Новосибирской области, во исполнение Федерального </w:t>
      </w:r>
      <w:hyperlink r:id="rId10" w:tooltip="consultantplus://offline/ref=C2CCE55FF14B0155D04C354BE0593B99C259646EAAEACE6A7D68DD7D5062o4E" w:history="1">
        <w:r>
          <w:rPr>
            <w:rFonts w:eastAsia="Times New Roman"/>
            <w:sz w:val="28"/>
            <w:szCs w:val="28"/>
          </w:rPr>
          <w:t xml:space="preserve">закона</w:t>
        </w:r>
      </w:hyperlink>
      <w:r>
        <w:rPr>
          <w:rFonts w:eastAsia="Times New Roman"/>
          <w:sz w:val="28"/>
          <w:szCs w:val="28"/>
        </w:rPr>
        <w:t xml:space="preserve"> от 21.11.2011 № 323-ФЗ «Об основах охраны здоровья граждан в Российской Федерации», приказа Министерства здравоохранения и социального развития РФ от 31.01.2012 г. № 69н «Об утверждении порядка оказания медицин</w:t>
      </w:r>
      <w:r>
        <w:rPr>
          <w:rFonts w:eastAsia="Times New Roman"/>
          <w:sz w:val="28"/>
          <w:szCs w:val="28"/>
        </w:rPr>
        <w:t xml:space="preserve">ской помощи взрослым больным при инфекционных заболеваниях», приказа Министерства здравоохранения и социального развития РФ от 05.05.2012 № 521н «Об утверждении Порядка оказания медицинской помощи детям с инфекционными заболеваниями», </w:t>
      </w:r>
      <w:r>
        <w:rPr>
          <w:rFonts w:eastAsia="Times New Roman"/>
          <w:b/>
          <w:sz w:val="28"/>
          <w:szCs w:val="28"/>
        </w:rPr>
        <w:t xml:space="preserve">п р и к а з ы в а ю: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1. Утвердить прилагаемую </w:t>
      </w:r>
      <w:hyperlink w:tooltip="#P30" w:anchor="P30" w:history="1">
        <w:r>
          <w:rPr>
            <w:rFonts w:eastAsia="Times New Roman"/>
            <w:sz w:val="28"/>
            <w:szCs w:val="28"/>
            <w:highlight w:val="white"/>
          </w:rPr>
          <w:t xml:space="preserve">схему</w:t>
        </w:r>
      </w:hyperlink>
      <w:r>
        <w:rPr>
          <w:rFonts w:eastAsia="Times New Roman"/>
          <w:sz w:val="28"/>
          <w:szCs w:val="28"/>
          <w:highlight w:val="white"/>
        </w:rPr>
        <w:t xml:space="preserve"> маршрутизаци</w:t>
      </w:r>
      <w:r>
        <w:rPr>
          <w:rFonts w:eastAsia="Times New Roman"/>
          <w:sz w:val="28"/>
          <w:szCs w:val="28"/>
        </w:rPr>
        <w:t xml:space="preserve">и граждан старше 15 лет, для оказания медицинской помощи в стационарных условиях, проживающих на территории Новосибирской области, при инфекционных заболеваниях в государственных медицинских организациях Новосибирской области.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 Определить контингенты пациентов, направляемых из медицинских организаций в консультативно-диагностич</w:t>
      </w:r>
      <w:r>
        <w:rPr>
          <w:rFonts w:eastAsia="Times New Roman"/>
          <w:sz w:val="28"/>
          <w:szCs w:val="28"/>
        </w:rPr>
        <w:t xml:space="preserve">е</w:t>
      </w:r>
      <w:r>
        <w:rPr>
          <w:rFonts w:eastAsia="Times New Roman"/>
          <w:sz w:val="28"/>
          <w:szCs w:val="28"/>
        </w:rPr>
        <w:t xml:space="preserve">ский центр в государственное бюджетное учреждение здравоохранения Новосибирской области «Городская  инфекционная </w:t>
      </w:r>
      <w:r>
        <w:rPr>
          <w:rFonts w:eastAsia="Times New Roman"/>
          <w:sz w:val="28"/>
          <w:szCs w:val="28"/>
        </w:rPr>
        <w:t xml:space="preserve">клиническая</w:t>
      </w:r>
      <w:r>
        <w:rPr>
          <w:rFonts w:eastAsia="Times New Roman"/>
          <w:sz w:val="28"/>
          <w:szCs w:val="28"/>
        </w:rPr>
        <w:t xml:space="preserve"> больница № 1» (далее – ГБУЗ НСО «ГИКБ №</w:t>
      </w:r>
      <w:r>
        <w:rPr>
          <w:sz w:val="28"/>
          <w:szCs w:val="28"/>
        </w:rPr>
        <w:t xml:space="preserve"> 1</w:t>
      </w:r>
      <w:r>
        <w:rPr>
          <w:rFonts w:eastAsia="Times New Roman"/>
          <w:sz w:val="28"/>
          <w:szCs w:val="28"/>
        </w:rPr>
        <w:t xml:space="preserve">») по юридическому адресу: ​г. Новосибирск, ул. Ольги Жилиной, 90а (приложение № 2).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 Главному специалисту Новосибирской области по инфекционным болезням Поздняковой Л.Л.: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 осуществлять методическое руководство работой профильных специалистов, оказывающих медицинскую помощь взрослым больным и подросткам с инфекционными заболеваниями;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  проводить регулярный аудит доступности медицинской помощи по профилю инфекционные заболевания согласно маршрутизации.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 Главным врачам государственных бюджет</w:t>
      </w:r>
      <w:r>
        <w:rPr>
          <w:rFonts w:eastAsia="Times New Roman"/>
          <w:sz w:val="28"/>
          <w:szCs w:val="28"/>
        </w:rPr>
        <w:t xml:space="preserve">ных учреждений здравоохранения Новосибирской области «Болотнинская центральная районная больница», «Коченевская центральная районная больница», «Мошковская центральная районная больница», «Ордынская центральная районная больница», «Колыванская центральная </w:t>
      </w:r>
      <w:r>
        <w:rPr>
          <w:rFonts w:eastAsia="Times New Roman"/>
          <w:sz w:val="28"/>
          <w:szCs w:val="28"/>
        </w:rPr>
        <w:t xml:space="preserve">районная больница»:</w:t>
      </w:r>
      <w:r>
        <w:rPr>
          <w:rFonts w:eastAsia="Times New Roman"/>
          <w:color w:val="ff0000"/>
          <w:sz w:val="28"/>
          <w:szCs w:val="28"/>
        </w:rPr>
      </w:r>
      <w:r>
        <w:rPr>
          <w:rFonts w:eastAsia="Times New Roman"/>
          <w:color w:val="ff0000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</w:r>
      <w:r>
        <w:rPr>
          <w:rFonts w:eastAsia="Times New Roman"/>
          <w:sz w:val="28"/>
          <w:szCs w:val="28"/>
        </w:rPr>
        <w:t xml:space="preserve">1) организовать р</w:t>
      </w:r>
      <w:r>
        <w:rPr>
          <w:rFonts w:eastAsia="Times New Roman"/>
          <w:sz w:val="28"/>
          <w:szCs w:val="28"/>
        </w:rPr>
        <w:t xml:space="preserve">аботу одного поста в инфекционном отделении на 15 коек для приема пациентов старше 15 лет при отсутствии возможности госпитализировать в ГБУЗ НСО «</w:t>
      </w:r>
      <w:r>
        <w:rPr>
          <w:rFonts w:eastAsia="Times New Roman"/>
          <w:sz w:val="28"/>
          <w:szCs w:val="28"/>
        </w:rPr>
        <w:t xml:space="preserve">ГИКБ №</w:t>
      </w:r>
      <w:r>
        <w:rPr>
          <w:sz w:val="28"/>
          <w:szCs w:val="28"/>
        </w:rPr>
        <w:t xml:space="preserve"> 1</w:t>
      </w:r>
      <w:r>
        <w:rPr>
          <w:rFonts w:eastAsia="Times New Roman"/>
          <w:sz w:val="28"/>
          <w:szCs w:val="28"/>
        </w:rPr>
        <w:t xml:space="preserve">», при необходимости в течение 12-ти часов организовать телемедицинские консультации с ГБУЗ НСО «</w:t>
      </w:r>
      <w:r>
        <w:rPr>
          <w:rFonts w:eastAsia="Times New Roman"/>
          <w:sz w:val="28"/>
          <w:szCs w:val="28"/>
        </w:rPr>
        <w:t xml:space="preserve">ГИКБ №</w:t>
      </w:r>
      <w:r>
        <w:rPr>
          <w:sz w:val="28"/>
          <w:szCs w:val="28"/>
        </w:rPr>
        <w:t xml:space="preserve"> 1</w:t>
      </w:r>
      <w:r>
        <w:rPr>
          <w:rFonts w:eastAsia="Times New Roman"/>
          <w:sz w:val="28"/>
          <w:szCs w:val="28"/>
        </w:rPr>
        <w:t xml:space="preserve">»;</w:t>
      </w:r>
      <w:r>
        <w:rPr>
          <w:rFonts w:eastAsia="Times New Roman"/>
          <w:color w:val="ff0000"/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 уведомить сотрудников инфекционного отделения об изменении существенных условий трудового договора;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 укомплектовать штаты кабинетов инфекционных заболеваний врачами-инфекционистами;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 с целью недопущения распространения заболевания обеспечить изоляцию инфекционных больных, госпитализация которых в ГБУЗ НСО «</w:t>
      </w:r>
      <w:r>
        <w:rPr>
          <w:rFonts w:eastAsia="Times New Roman"/>
          <w:sz w:val="28"/>
          <w:szCs w:val="28"/>
        </w:rPr>
        <w:t xml:space="preserve">ГИКБ №</w:t>
      </w:r>
      <w:r>
        <w:rPr>
          <w:sz w:val="28"/>
          <w:szCs w:val="28"/>
        </w:rPr>
        <w:t xml:space="preserve"> 1</w:t>
      </w:r>
      <w:r>
        <w:rPr>
          <w:rFonts w:eastAsia="Times New Roman"/>
          <w:sz w:val="28"/>
          <w:szCs w:val="28"/>
        </w:rPr>
        <w:t xml:space="preserve">» не может быть осуществлена по жизненным показаниям в соответствии с санитарно-эпидемическими нормами.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 Главным врачам государственных медицинских организаций Новосибирской области обеспечить: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 применение при направлении пациентов с инфекционными заболеваниями утвержденную </w:t>
      </w:r>
      <w:hyperlink w:tooltip="#P30" w:anchor="P30" w:history="1">
        <w:r>
          <w:rPr>
            <w:rFonts w:eastAsia="Times New Roman"/>
            <w:sz w:val="28"/>
            <w:szCs w:val="28"/>
          </w:rPr>
          <w:t xml:space="preserve">схему</w:t>
        </w:r>
      </w:hyperlink>
      <w:r>
        <w:rPr>
          <w:rFonts w:eastAsia="Times New Roman"/>
          <w:sz w:val="28"/>
          <w:szCs w:val="28"/>
        </w:rPr>
        <w:t xml:space="preserve"> маршрутизации с момента открытия ГБУЗ НСО «</w:t>
      </w:r>
      <w:r>
        <w:rPr>
          <w:rFonts w:eastAsia="Times New Roman"/>
          <w:sz w:val="28"/>
          <w:szCs w:val="28"/>
        </w:rPr>
        <w:t xml:space="preserve">ГИКБ №</w:t>
      </w:r>
      <w:r>
        <w:rPr>
          <w:sz w:val="28"/>
          <w:szCs w:val="28"/>
        </w:rPr>
        <w:t xml:space="preserve"> 1</w:t>
      </w:r>
      <w:r>
        <w:rPr>
          <w:rFonts w:eastAsia="Times New Roman"/>
          <w:sz w:val="28"/>
          <w:szCs w:val="28"/>
        </w:rPr>
        <w:t xml:space="preserve">» (Новосибирский район, пос. Садовый, ул. Березовая, 15);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 размещение запроса в медицинской информационной системе Новосибирской области (далее – МИС НСО) для направления на консультацию к врачу-инфекционисту в консультативно - диагностический центр ГБУЗ НСО«</w:t>
      </w:r>
      <w:r>
        <w:rPr>
          <w:rFonts w:eastAsia="Times New Roman"/>
          <w:sz w:val="28"/>
          <w:szCs w:val="28"/>
        </w:rPr>
        <w:t xml:space="preserve">ГИКБ №</w:t>
      </w:r>
      <w:r>
        <w:rPr>
          <w:sz w:val="28"/>
          <w:szCs w:val="28"/>
        </w:rPr>
        <w:t xml:space="preserve"> 1</w:t>
      </w:r>
      <w:r>
        <w:rPr>
          <w:rFonts w:eastAsia="Times New Roman"/>
          <w:sz w:val="28"/>
          <w:szCs w:val="28"/>
        </w:rPr>
        <w:t xml:space="preserve">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обеспечить: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 настройку маршрутизации пациентов в МИС НСО в соответствии с утвержденной маршрутизацией;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 техническое и методологическое сопровождение сотрудников государственных учреждений Новосибирской области, подведомственных министерству здравоохранения Новосибирской области, при работе в МИС НСО.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 xml:space="preserve">3) разработать и внедрить интерактивную панель по контролю доступности записи на консультацию пациентов в консультативно-диагностический центр  ГБУЗ НСО «</w:t>
      </w:r>
      <w:r>
        <w:rPr>
          <w:rFonts w:eastAsia="Times New Roman"/>
          <w:sz w:val="28"/>
          <w:szCs w:val="28"/>
        </w:rPr>
        <w:t xml:space="preserve">ГИКБ №</w:t>
      </w:r>
      <w:r>
        <w:rPr>
          <w:sz w:val="28"/>
          <w:szCs w:val="28"/>
        </w:rPr>
        <w:t xml:space="preserve"> 1</w:t>
      </w:r>
      <w:r>
        <w:rPr>
          <w:rFonts w:eastAsia="Times New Roman"/>
          <w:sz w:val="28"/>
          <w:szCs w:val="28"/>
        </w:rPr>
        <w:t xml:space="preserve">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 Признать утратившим силу приказ ми</w:t>
      </w:r>
      <w:r>
        <w:rPr>
          <w:rFonts w:eastAsia="Times New Roman"/>
          <w:sz w:val="28"/>
          <w:szCs w:val="28"/>
        </w:rPr>
        <w:t xml:space="preserve">нистерства здравоохранения Новосибирской области от 01.11.2019 № 3504/1 «О маршрутизации граждан старше 18 лет, проживающих на территории Новосибирской области, при инфекционных заболеваниях в государственные медицинские организации Новосибирской области».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Контроль за исполнением приказа оставляю за собой.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firstLine="540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ind w:firstLine="540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ind w:firstLine="540"/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</w:p>
    <w:p>
      <w:pPr>
        <w:widowControl w:val="off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Министр                                                                                                      Р.М. Заблоцкий</w:t>
      </w:r>
      <w:r>
        <w:rPr>
          <w:rFonts w:eastAsia="Times New Roman"/>
          <w:sz w:val="27"/>
          <w:szCs w:val="27"/>
        </w:rPr>
      </w:r>
      <w:r>
        <w:rPr>
          <w:rFonts w:eastAsia="Times New Roman"/>
          <w:sz w:val="27"/>
          <w:szCs w:val="27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7"/>
          <w:szCs w:val="27"/>
        </w:rPr>
      </w:r>
    </w:p>
    <w:p>
      <w:pPr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</w:rPr>
      </w:r>
    </w:p>
    <w:p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О.В. Беушева </w: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t xml:space="preserve">(383)238 62 55</w:t>
      </w:r>
      <w:bookmarkStart w:id="0" w:name="_GoBack"/>
      <w:r>
        <w:rPr>
          <w:sz w:val="20"/>
          <w:szCs w:val="20"/>
        </w:rPr>
      </w:r>
      <w:bookmarkEnd w:id="0"/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3 Char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668">
    <w:name w:val="Heading 4 Char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69">
    <w:name w:val="Heading 5 Char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70">
    <w:name w:val="Heading 6 Char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71">
    <w:name w:val="Heading 7 Char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8 Char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673">
    <w:name w:val="Heading 9 Char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674">
    <w:name w:val="Title Char"/>
    <w:basedOn w:val="692"/>
    <w:link w:val="706"/>
    <w:uiPriority w:val="10"/>
    <w:rPr>
      <w:sz w:val="48"/>
      <w:szCs w:val="48"/>
    </w:rPr>
  </w:style>
  <w:style w:type="character" w:styleId="675">
    <w:name w:val="Subtitle Char"/>
    <w:basedOn w:val="692"/>
    <w:link w:val="708"/>
    <w:uiPriority w:val="11"/>
    <w:rPr>
      <w:sz w:val="24"/>
      <w:szCs w:val="24"/>
    </w:rPr>
  </w:style>
  <w:style w:type="character" w:styleId="676">
    <w:name w:val="Quote Char"/>
    <w:link w:val="710"/>
    <w:uiPriority w:val="29"/>
    <w:rPr>
      <w:i/>
    </w:rPr>
  </w:style>
  <w:style w:type="character" w:styleId="677">
    <w:name w:val="Intense Quote Char"/>
    <w:link w:val="712"/>
    <w:uiPriority w:val="30"/>
    <w:rPr>
      <w:i/>
    </w:rPr>
  </w:style>
  <w:style w:type="character" w:styleId="678">
    <w:name w:val="Header Char"/>
    <w:basedOn w:val="692"/>
    <w:link w:val="714"/>
    <w:uiPriority w:val="99"/>
  </w:style>
  <w:style w:type="character" w:styleId="679">
    <w:name w:val="Caption Char"/>
    <w:basedOn w:val="718"/>
    <w:link w:val="716"/>
    <w:uiPriority w:val="99"/>
  </w:style>
  <w:style w:type="character" w:styleId="680">
    <w:name w:val="Footnote Text Char"/>
    <w:link w:val="847"/>
    <w:uiPriority w:val="99"/>
    <w:rPr>
      <w:sz w:val="18"/>
    </w:rPr>
  </w:style>
  <w:style w:type="character" w:styleId="681">
    <w:name w:val="Endnote Text Char"/>
    <w:link w:val="850"/>
    <w:uiPriority w:val="99"/>
    <w:rPr>
      <w:sz w:val="20"/>
    </w:rPr>
  </w:style>
  <w:style w:type="paragraph" w:styleId="682" w:default="1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683">
    <w:name w:val="Heading 1"/>
    <w:basedOn w:val="682"/>
    <w:next w:val="68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next w:val="682"/>
    <w:link w:val="866"/>
    <w:qFormat/>
    <w:pPr>
      <w:jc w:val="center"/>
      <w:keepNext/>
      <w:outlineLvl w:val="1"/>
    </w:pPr>
    <w:rPr>
      <w:szCs w:val="20"/>
    </w:rPr>
  </w:style>
  <w:style w:type="paragraph" w:styleId="685">
    <w:name w:val="Heading 3"/>
    <w:basedOn w:val="682"/>
    <w:next w:val="68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8">
    <w:name w:val="Heading 6"/>
    <w:basedOn w:val="682"/>
    <w:next w:val="68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next w:val="68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next w:val="682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next w:val="68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uiPriority w:val="1"/>
    <w:qFormat/>
  </w:style>
  <w:style w:type="paragraph" w:styleId="706">
    <w:name w:val="Title"/>
    <w:basedOn w:val="682"/>
    <w:next w:val="68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link w:val="706"/>
    <w:uiPriority w:val="10"/>
    <w:rPr>
      <w:sz w:val="48"/>
      <w:szCs w:val="48"/>
    </w:rPr>
  </w:style>
  <w:style w:type="paragraph" w:styleId="708">
    <w:name w:val="Subtitle"/>
    <w:basedOn w:val="682"/>
    <w:next w:val="682"/>
    <w:link w:val="709"/>
    <w:uiPriority w:val="11"/>
    <w:qFormat/>
    <w:pPr>
      <w:spacing w:before="200" w:after="200"/>
    </w:pPr>
  </w:style>
  <w:style w:type="character" w:styleId="709" w:customStyle="1">
    <w:name w:val="Подзаголовок Знак"/>
    <w:link w:val="708"/>
    <w:uiPriority w:val="11"/>
    <w:rPr>
      <w:sz w:val="24"/>
      <w:szCs w:val="24"/>
    </w:rPr>
  </w:style>
  <w:style w:type="paragraph" w:styleId="710">
    <w:name w:val="Quote"/>
    <w:basedOn w:val="682"/>
    <w:next w:val="682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2"/>
    <w:next w:val="682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basedOn w:val="682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link w:val="714"/>
    <w:uiPriority w:val="99"/>
  </w:style>
  <w:style w:type="paragraph" w:styleId="716">
    <w:name w:val="Footer"/>
    <w:basedOn w:val="682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basedOn w:val="693"/>
    <w:uiPriority w:val="59"/>
    <w:rPr>
      <w:rFonts w:eastAsia="Times New Roman"/>
      <w:lang w:eastAsia="ru-RU"/>
    </w:rPr>
    <w:tblPr/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rPr>
      <w:color w:val="0000ff"/>
      <w:u w:val="single"/>
    </w:rPr>
  </w:style>
  <w:style w:type="paragraph" w:styleId="847">
    <w:name w:val="footnote text"/>
    <w:basedOn w:val="682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2"/>
    <w:link w:val="851"/>
    <w:uiPriority w:val="99"/>
    <w:semiHidden/>
    <w:unhideWhenUsed/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2"/>
    <w:next w:val="682"/>
    <w:uiPriority w:val="39"/>
    <w:unhideWhenUsed/>
    <w:pPr>
      <w:spacing w:after="57"/>
    </w:pPr>
  </w:style>
  <w:style w:type="paragraph" w:styleId="85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6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6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82"/>
    <w:next w:val="682"/>
    <w:uiPriority w:val="99"/>
    <w:unhideWhenUsed/>
  </w:style>
  <w:style w:type="paragraph" w:styleId="864" w:customStyle="1">
    <w:name w:val="Заголовок 1;Раздел Договора;H1;&quot;Алмаз&quot;"/>
    <w:basedOn w:val="682"/>
    <w:next w:val="682"/>
    <w:link w:val="865"/>
    <w:qFormat/>
    <w:pPr>
      <w:jc w:val="center"/>
      <w:keepNext/>
      <w:outlineLvl w:val="0"/>
    </w:pPr>
    <w:rPr>
      <w:b/>
      <w:bCs/>
      <w:szCs w:val="20"/>
    </w:rPr>
  </w:style>
  <w:style w:type="character" w:styleId="865" w:customStyle="1">
    <w:name w:val="Заголовок 1 Знак;Раздел Договора Знак;H1 Знак;&quot;Алмаз&quot; Знак"/>
    <w:link w:val="864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styleId="866" w:customStyle="1">
    <w:name w:val="Заголовок 2 Знак"/>
    <w:link w:val="684"/>
    <w:rPr>
      <w:rFonts w:ascii="Times New Roman" w:hAnsi="Times New Roman" w:cs="Times New Roman"/>
      <w:sz w:val="20"/>
      <w:szCs w:val="20"/>
      <w:lang w:val="en-US" w:eastAsia="ru-RU"/>
    </w:rPr>
  </w:style>
  <w:style w:type="paragraph" w:styleId="867">
    <w:name w:val="Balloon Text"/>
    <w:basedOn w:val="682"/>
    <w:link w:val="868"/>
    <w:semiHidden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link w:val="867"/>
    <w:semiHidden/>
    <w:rPr>
      <w:rFonts w:ascii="Tahoma" w:hAnsi="Tahoma" w:cs="Tahoma"/>
      <w:sz w:val="16"/>
      <w:szCs w:val="16"/>
      <w:lang w:val="en-US" w:eastAsia="ru-RU"/>
    </w:rPr>
  </w:style>
  <w:style w:type="paragraph" w:styleId="869" w:customStyle="1">
    <w:name w:val="body_text Знак Знак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870" w:customStyle="1">
    <w:name w:val="Основной текст_"/>
    <w:link w:val="87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871" w:customStyle="1">
    <w:name w:val="Основной текст1"/>
    <w:basedOn w:val="87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872" w:customStyle="1">
    <w:name w:val="Основной текст7"/>
    <w:basedOn w:val="682"/>
    <w:link w:val="870"/>
    <w:pPr>
      <w:ind w:hanging="340"/>
      <w:spacing w:after="600" w:line="240" w:lineRule="atLeast"/>
      <w:shd w:val="clear" w:color="auto" w:fill="ffffff"/>
    </w:pPr>
    <w:rPr>
      <w:lang w:eastAsia="en-US"/>
    </w:rPr>
  </w:style>
  <w:style w:type="paragraph" w:styleId="873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basedOn w:val="682"/>
    <w:pPr>
      <w:spacing w:after="240"/>
    </w:pPr>
  </w:style>
  <w:style w:type="paragraph" w:styleId="874">
    <w:name w:val="Body Text Indent 2"/>
    <w:basedOn w:val="682"/>
    <w:link w:val="875"/>
    <w:pPr>
      <w:ind w:firstLine="720"/>
      <w:jc w:val="both"/>
    </w:pPr>
    <w:rPr>
      <w:szCs w:val="20"/>
    </w:rPr>
  </w:style>
  <w:style w:type="character" w:styleId="875" w:customStyle="1">
    <w:name w:val="Основной текст с отступом 2 Знак"/>
    <w:link w:val="874"/>
    <w:rPr>
      <w:rFonts w:ascii="Times New Roman" w:hAnsi="Times New Roman" w:cs="Times New Roman"/>
      <w:sz w:val="20"/>
      <w:szCs w:val="20"/>
      <w:lang w:val="en-US" w:eastAsia="ru-RU"/>
    </w:rPr>
  </w:style>
  <w:style w:type="paragraph" w:styleId="876" w:customStyle="1">
    <w:name w:val="Знак"/>
    <w:basedOn w:val="68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 w:eastAsia="en-US"/>
    </w:rPr>
  </w:style>
  <w:style w:type="character" w:styleId="877">
    <w:name w:val="Emphasis"/>
    <w:qFormat/>
    <w:rPr>
      <w:i/>
      <w:iCs/>
    </w:rPr>
  </w:style>
  <w:style w:type="character" w:styleId="878">
    <w:name w:val="Strong"/>
    <w:qFormat/>
    <w:rPr>
      <w:b/>
      <w:bCs/>
    </w:rPr>
  </w:style>
  <w:style w:type="paragraph" w:styleId="879" w:customStyle="1">
    <w:name w:val="Style10"/>
    <w:basedOn w:val="682"/>
    <w:uiPriority w:val="99"/>
    <w:pPr>
      <w:widowControl w:val="off"/>
    </w:pPr>
    <w:rPr>
      <w:rFonts w:eastAsia="Times New Roman"/>
    </w:rPr>
  </w:style>
  <w:style w:type="table" w:styleId="880" w:customStyle="1">
    <w:name w:val="Сетка таблицы1"/>
    <w:basedOn w:val="693"/>
    <w:next w:val="720"/>
    <w:uiPriority w:val="59"/>
    <w:rPr>
      <w:sz w:val="22"/>
      <w:szCs w:val="22"/>
      <w:lang w:eastAsia="en-US"/>
    </w:rPr>
    <w:tblPr/>
  </w:style>
  <w:style w:type="character" w:styleId="881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C2CCE55FF14B0155D04C354BE0593B99C259646EAAEACE6A7D68DD7D5062o4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shmv</dc:creator>
  <cp:revision>6</cp:revision>
  <dcterms:created xsi:type="dcterms:W3CDTF">2025-01-22T04:25:00Z</dcterms:created>
  <dcterms:modified xsi:type="dcterms:W3CDTF">2025-01-24T06:05:22Z</dcterms:modified>
  <cp:version>1048576</cp:version>
</cp:coreProperties>
</file>