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43" w:rsidRDefault="00745457">
      <w:pPr>
        <w:pageBreakBefore/>
        <w:tabs>
          <w:tab w:val="right" w:pos="9922"/>
        </w:tabs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 приказом министерства здравоохранения</w:t>
      </w:r>
    </w:p>
    <w:p w:rsidR="00314843" w:rsidRDefault="00745457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14843" w:rsidRDefault="00745457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от ______ № ________</w:t>
      </w:r>
    </w:p>
    <w:p w:rsidR="00314843" w:rsidRDefault="00314843">
      <w:pPr>
        <w:pStyle w:val="aff2"/>
        <w:ind w:firstLine="709"/>
        <w:jc w:val="both"/>
        <w:rPr>
          <w:sz w:val="28"/>
          <w:szCs w:val="28"/>
        </w:rPr>
      </w:pPr>
    </w:p>
    <w:p w:rsidR="00314843" w:rsidRDefault="00314843">
      <w:pPr>
        <w:pStyle w:val="aff2"/>
        <w:ind w:firstLine="709"/>
        <w:jc w:val="both"/>
        <w:rPr>
          <w:sz w:val="28"/>
          <w:szCs w:val="28"/>
        </w:rPr>
      </w:pPr>
    </w:p>
    <w:p w:rsidR="00314843" w:rsidRDefault="00745457">
      <w:pPr>
        <w:pStyle w:val="af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314843" w:rsidRDefault="00745457">
      <w:pPr>
        <w:pStyle w:val="aff2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реализации пилотного проекта «Близкая медицина» на территории Новосибирской области в 2025 году</w:t>
      </w:r>
    </w:p>
    <w:p w:rsidR="00314843" w:rsidRDefault="00314843">
      <w:pPr>
        <w:pStyle w:val="aff2"/>
        <w:ind w:firstLine="709"/>
        <w:jc w:val="both"/>
        <w:rPr>
          <w:sz w:val="28"/>
          <w:szCs w:val="28"/>
        </w:rPr>
      </w:pP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Целью пилотного проекта «Близкая медицина» на территории Новосибирской области в 2025 году (далее – пилотный проект) является: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повышение доступности первичной медико-санитарной помощи в малочисленных населенных пунктах;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повышение преемственности м</w:t>
      </w:r>
      <w:r>
        <w:rPr>
          <w:sz w:val="28"/>
          <w:szCs w:val="28"/>
        </w:rPr>
        <w:t>ежду разными видами медицинской помощи;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повышение приверженности жителей малочисленных населенных пунктов к лечению;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повышение охвата диспансеризацией определенных групп взрослого населения, первичными медицинскими осмотрами, диспансерным наблюдением</w:t>
      </w:r>
      <w:r>
        <w:rPr>
          <w:sz w:val="28"/>
          <w:szCs w:val="28"/>
        </w:rPr>
        <w:t>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повышение информированности граждан о способах получения медицинской помощи;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сокращение сроков ожидания оказания медицинской помощи;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повышение доверия к медицинскому персоналу.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Пилотный проект реализуется на территории муниципальных образован</w:t>
      </w:r>
      <w:r>
        <w:rPr>
          <w:sz w:val="28"/>
          <w:szCs w:val="28"/>
        </w:rPr>
        <w:t>ий Новосибирской области в период с 01.01.2025 по 31.12.2025.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Для участия в пилотном проекте руководителем </w:t>
      </w:r>
      <w:r>
        <w:rPr>
          <w:sz w:val="28"/>
          <w:szCs w:val="27"/>
        </w:rPr>
        <w:t>государственного учреждения здравоохранения Новосибирской области, подведомственного министерству здравоохранения Новосибирской области и располож</w:t>
      </w:r>
      <w:r>
        <w:rPr>
          <w:sz w:val="28"/>
          <w:szCs w:val="27"/>
        </w:rPr>
        <w:t xml:space="preserve">енного </w:t>
      </w:r>
      <w:r w:rsidR="00956C7E">
        <w:rPr>
          <w:sz w:val="28"/>
          <w:szCs w:val="27"/>
        </w:rPr>
        <w:t>в муниципальном районе</w:t>
      </w:r>
      <w:r>
        <w:rPr>
          <w:sz w:val="28"/>
          <w:szCs w:val="27"/>
        </w:rPr>
        <w:t xml:space="preserve"> Новосибирской области (далее – главный врач, медицинская организация), </w:t>
      </w:r>
      <w:r>
        <w:rPr>
          <w:sz w:val="28"/>
          <w:szCs w:val="28"/>
        </w:rPr>
        <w:t>оказывающего первичную медико-санитарную помощь жителям муниципального образования Новосибирской области, определяются населенные пункты исходя из следующи</w:t>
      </w:r>
      <w:r>
        <w:rPr>
          <w:sz w:val="28"/>
          <w:szCs w:val="28"/>
        </w:rPr>
        <w:t>х критериев: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численность жителей населенного пункта составляет до 300 человек включительно;</w:t>
      </w:r>
    </w:p>
    <w:p w:rsidR="00956C7E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56C7E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на территории населенного пункта </w:t>
      </w:r>
      <w:r>
        <w:rPr>
          <w:sz w:val="28"/>
          <w:szCs w:val="28"/>
        </w:rPr>
        <w:t>структурно</w:t>
      </w:r>
      <w:r w:rsidR="00956C7E">
        <w:rPr>
          <w:sz w:val="28"/>
          <w:szCs w:val="28"/>
        </w:rPr>
        <w:t>го</w:t>
      </w:r>
      <w:r>
        <w:rPr>
          <w:sz w:val="28"/>
          <w:szCs w:val="28"/>
        </w:rPr>
        <w:t xml:space="preserve"> подразделени</w:t>
      </w:r>
      <w:r w:rsidR="00956C7E">
        <w:rPr>
          <w:sz w:val="28"/>
          <w:szCs w:val="28"/>
        </w:rPr>
        <w:t>я</w:t>
      </w:r>
      <w:r>
        <w:rPr>
          <w:sz w:val="28"/>
          <w:szCs w:val="28"/>
        </w:rPr>
        <w:t xml:space="preserve"> медицинской организации, оказывающе</w:t>
      </w:r>
      <w:r w:rsidR="00956C7E">
        <w:rPr>
          <w:sz w:val="28"/>
          <w:szCs w:val="28"/>
        </w:rPr>
        <w:t>го</w:t>
      </w:r>
      <w:r>
        <w:rPr>
          <w:sz w:val="28"/>
          <w:szCs w:val="28"/>
        </w:rPr>
        <w:t xml:space="preserve"> первичную медико-санитарную помощь, или </w:t>
      </w:r>
      <w:r w:rsidR="00956C7E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в нем </w:t>
      </w:r>
      <w:r>
        <w:rPr>
          <w:sz w:val="28"/>
          <w:szCs w:val="28"/>
        </w:rPr>
        <w:t>медицинск</w:t>
      </w:r>
      <w:r w:rsidR="00956C7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работник</w:t>
      </w:r>
      <w:r w:rsidR="00956C7E">
        <w:rPr>
          <w:sz w:val="28"/>
          <w:szCs w:val="28"/>
        </w:rPr>
        <w:t>а;</w:t>
      </w:r>
    </w:p>
    <w:p w:rsidR="00314843" w:rsidRDefault="00956C7E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оказание </w:t>
      </w:r>
      <w:r w:rsidR="00745457">
        <w:rPr>
          <w:sz w:val="28"/>
          <w:szCs w:val="28"/>
        </w:rPr>
        <w:t>медицинск</w:t>
      </w:r>
      <w:r>
        <w:rPr>
          <w:sz w:val="28"/>
          <w:szCs w:val="28"/>
        </w:rPr>
        <w:t>ой</w:t>
      </w:r>
      <w:r w:rsidR="00745457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="00745457">
        <w:rPr>
          <w:sz w:val="28"/>
          <w:szCs w:val="28"/>
        </w:rPr>
        <w:t xml:space="preserve"> </w:t>
      </w:r>
      <w:r w:rsidR="00745457">
        <w:rPr>
          <w:sz w:val="28"/>
          <w:szCs w:val="28"/>
        </w:rPr>
        <w:t>медицинским работником</w:t>
      </w:r>
      <w:r w:rsidR="007454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45457">
        <w:rPr>
          <w:sz w:val="28"/>
          <w:szCs w:val="28"/>
        </w:rPr>
        <w:t xml:space="preserve"> нескольких населенных пунктов;</w:t>
      </w:r>
    </w:p>
    <w:p w:rsidR="00314843" w:rsidRDefault="00956C7E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5457">
        <w:rPr>
          <w:sz w:val="28"/>
          <w:szCs w:val="28"/>
        </w:rPr>
        <w:t>) </w:t>
      </w:r>
      <w:r w:rsidR="00745457">
        <w:rPr>
          <w:sz w:val="28"/>
          <w:szCs w:val="28"/>
        </w:rPr>
        <w:t>принят</w:t>
      </w:r>
      <w:r>
        <w:rPr>
          <w:sz w:val="28"/>
          <w:szCs w:val="28"/>
        </w:rPr>
        <w:t>ие</w:t>
      </w:r>
      <w:r w:rsidR="0074545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745457">
        <w:rPr>
          <w:sz w:val="28"/>
          <w:szCs w:val="28"/>
        </w:rPr>
        <w:t xml:space="preserve"> о ликвидации (прекращении деятельности) структурного подразделения, оказывающего первичную меди</w:t>
      </w:r>
      <w:r w:rsidR="00745457">
        <w:rPr>
          <w:sz w:val="28"/>
          <w:szCs w:val="28"/>
        </w:rPr>
        <w:t>ко-санитарную помощь, расположенного на территории населенного пункта,</w:t>
      </w:r>
      <w:r w:rsidR="00B63C46">
        <w:rPr>
          <w:sz w:val="28"/>
          <w:szCs w:val="28"/>
        </w:rPr>
        <w:t xml:space="preserve"> и</w:t>
      </w:r>
      <w:bookmarkStart w:id="0" w:name="_GoBack"/>
      <w:bookmarkEnd w:id="0"/>
      <w:r w:rsidR="00745457">
        <w:rPr>
          <w:sz w:val="28"/>
          <w:szCs w:val="28"/>
        </w:rPr>
        <w:t xml:space="preserve"> не соответствующего требованиям приказа Министерства здравоохранения и </w:t>
      </w:r>
      <w:r w:rsidR="00745457">
        <w:rPr>
          <w:sz w:val="28"/>
          <w:szCs w:val="28"/>
        </w:rPr>
        <w:lastRenderedPageBreak/>
        <w:t>социального развития Российской Федерации от</w:t>
      </w:r>
      <w:r>
        <w:rPr>
          <w:sz w:val="28"/>
          <w:szCs w:val="28"/>
        </w:rPr>
        <w:t> </w:t>
      </w:r>
      <w:r w:rsidR="00745457">
        <w:rPr>
          <w:sz w:val="28"/>
          <w:szCs w:val="28"/>
        </w:rPr>
        <w:t>15.05.2012 № 543н «Об</w:t>
      </w:r>
      <w:r>
        <w:rPr>
          <w:sz w:val="28"/>
          <w:szCs w:val="28"/>
        </w:rPr>
        <w:t> </w:t>
      </w:r>
      <w:r w:rsidR="00745457">
        <w:rPr>
          <w:sz w:val="28"/>
          <w:szCs w:val="28"/>
        </w:rPr>
        <w:t>утверждении Положения об организации оказания пе</w:t>
      </w:r>
      <w:r w:rsidR="00745457">
        <w:rPr>
          <w:sz w:val="28"/>
          <w:szCs w:val="28"/>
        </w:rPr>
        <w:t>рвичной медико-санитарной помощи взрослому населению»;</w:t>
      </w:r>
    </w:p>
    <w:p w:rsidR="00314843" w:rsidRDefault="00956C7E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5457">
        <w:rPr>
          <w:sz w:val="28"/>
          <w:szCs w:val="28"/>
        </w:rPr>
        <w:t>) </w:t>
      </w:r>
      <w:r>
        <w:rPr>
          <w:sz w:val="28"/>
          <w:szCs w:val="28"/>
        </w:rPr>
        <w:t>наличие</w:t>
      </w:r>
      <w:r w:rsidR="00745457">
        <w:rPr>
          <w:sz w:val="28"/>
          <w:szCs w:val="28"/>
        </w:rPr>
        <w:t xml:space="preserve"> сотов</w:t>
      </w:r>
      <w:r>
        <w:rPr>
          <w:sz w:val="28"/>
          <w:szCs w:val="28"/>
        </w:rPr>
        <w:t>ой связи;</w:t>
      </w:r>
      <w:r w:rsidR="00745457">
        <w:rPr>
          <w:sz w:val="28"/>
          <w:szCs w:val="28"/>
        </w:rPr>
        <w:t xml:space="preserve"> </w:t>
      </w:r>
    </w:p>
    <w:p w:rsidR="00314843" w:rsidRDefault="00956C7E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5457">
        <w:rPr>
          <w:sz w:val="28"/>
          <w:szCs w:val="28"/>
        </w:rPr>
        <w:t>) </w:t>
      </w:r>
      <w:r w:rsidR="00745457">
        <w:rPr>
          <w:sz w:val="28"/>
          <w:szCs w:val="28"/>
        </w:rPr>
        <w:t>возможность организации доставки пациентов из населенного пункта в поликлинику (поликлиническое отделение) автомобильным транспортом медицинской организации;</w:t>
      </w:r>
    </w:p>
    <w:p w:rsidR="00314843" w:rsidRDefault="00956C7E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45457">
        <w:rPr>
          <w:sz w:val="28"/>
          <w:szCs w:val="28"/>
        </w:rPr>
        <w:t>) </w:t>
      </w:r>
      <w:r w:rsidR="00745457">
        <w:rPr>
          <w:sz w:val="28"/>
          <w:szCs w:val="28"/>
        </w:rPr>
        <w:t>возможность организации выездных форм работы в населенном пункте с применением передвижных фельдшерско-акушерских пунктов</w:t>
      </w:r>
      <w:r w:rsidR="00745457">
        <w:rPr>
          <w:sz w:val="28"/>
          <w:szCs w:val="28"/>
        </w:rPr>
        <w:t>, мобильных комплексов;</w:t>
      </w:r>
    </w:p>
    <w:p w:rsidR="00314843" w:rsidRDefault="00956C7E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5457">
        <w:rPr>
          <w:sz w:val="28"/>
          <w:szCs w:val="28"/>
        </w:rPr>
        <w:t>) </w:t>
      </w:r>
      <w:r>
        <w:rPr>
          <w:sz w:val="28"/>
          <w:szCs w:val="28"/>
        </w:rPr>
        <w:t>наличие</w:t>
      </w:r>
      <w:r w:rsidR="00745457">
        <w:rPr>
          <w:sz w:val="28"/>
          <w:szCs w:val="28"/>
        </w:rPr>
        <w:t xml:space="preserve"> кандидат</w:t>
      </w:r>
      <w:r w:rsidR="00745457">
        <w:rPr>
          <w:sz w:val="28"/>
          <w:szCs w:val="28"/>
        </w:rPr>
        <w:t>а для трудоустройства на должность младшей медицинской сестры, ранее прошедший соответствующее обучение, или желающий пройти обучение на цикле «Младшая медицинская сестра по уходу» в государственном автономном профессиональном образовательном учреждении Но</w:t>
      </w:r>
      <w:r w:rsidR="00745457">
        <w:rPr>
          <w:sz w:val="28"/>
          <w:szCs w:val="28"/>
        </w:rPr>
        <w:t>восибирской области «Новосибирский медицинский колледж» (далее – цикл, ГАПОУ НСО «Новосибирский медицинский колледж») до начала реализации пилотного проекта.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До начала реализации пилотного проекта главный врач направляет заявку в свободной форме в минис</w:t>
      </w:r>
      <w:r>
        <w:rPr>
          <w:sz w:val="28"/>
          <w:szCs w:val="28"/>
        </w:rPr>
        <w:t>терство здравоохранения Новосибирской области с указанием соответствия критериям, указанным в пункте 3</w:t>
      </w:r>
      <w:r w:rsidR="00956C7E">
        <w:rPr>
          <w:sz w:val="28"/>
          <w:szCs w:val="28"/>
        </w:rPr>
        <w:t xml:space="preserve"> настоящих Правил</w:t>
      </w:r>
      <w:r>
        <w:rPr>
          <w:sz w:val="28"/>
          <w:szCs w:val="28"/>
        </w:rPr>
        <w:t>, и потребности в проведении обучения кандидата на цикле.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После получения согласования </w:t>
      </w:r>
      <w:r>
        <w:rPr>
          <w:sz w:val="28"/>
          <w:szCs w:val="28"/>
        </w:rPr>
        <w:t>министерства здравоохранения Новосибирской</w:t>
      </w:r>
      <w:r>
        <w:rPr>
          <w:sz w:val="28"/>
          <w:szCs w:val="28"/>
        </w:rPr>
        <w:t xml:space="preserve"> области и, в случае направления на обучение на цикле в ГАПОУ НСО «Новосибирский медицинский колледж», после завершения обучения главный врач трудоустраивает кандидатуру (кандидатуры) на должность младшей медицинской сестры, обеспечивает сотовой связью для</w:t>
      </w:r>
      <w:r>
        <w:rPr>
          <w:sz w:val="28"/>
          <w:szCs w:val="28"/>
        </w:rPr>
        <w:t xml:space="preserve"> совершения звонков по вопросам оказания медицинской помощи жителям вверенного населенного пункта, разрабатывает инструкции взаимодействия данного сотрудника с поликлиникой (поликлиническим отделением) для повышения доступности оказания первичной медико-са</w:t>
      </w:r>
      <w:r>
        <w:rPr>
          <w:sz w:val="28"/>
          <w:szCs w:val="28"/>
        </w:rPr>
        <w:t xml:space="preserve">нитарной помощи. 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После трудоустройства сотрудник в населенном пункте своего проживания: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обеспечивает информирование жителей населенного пункта по вопросам получения медицинской помощи;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способствует получению жителями первичной медико-санитарной п</w:t>
      </w:r>
      <w:r>
        <w:rPr>
          <w:sz w:val="28"/>
          <w:szCs w:val="28"/>
        </w:rPr>
        <w:t>омощи при необходимости (консультирует о возможностях записи, оказывает содействие при записи);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осуществляет привлечение жителей населенного пункта к прохождению профилактического медицинского осмотра и диспансеризации, информирование об их целях, объем</w:t>
      </w:r>
      <w:r>
        <w:rPr>
          <w:sz w:val="28"/>
          <w:szCs w:val="28"/>
        </w:rPr>
        <w:t>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</w:rPr>
        <w:lastRenderedPageBreak/>
        <w:t>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организует адресное приглашение для прохождения диспансеризации определенных групп взрослого населения, профилак</w:t>
      </w:r>
      <w:r>
        <w:rPr>
          <w:sz w:val="28"/>
          <w:szCs w:val="28"/>
        </w:rPr>
        <w:t>тических медицинских осмотров, диспансерного наблюдения;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проводит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обследования, в случае проведения мероприят</w:t>
      </w:r>
      <w:r>
        <w:rPr>
          <w:sz w:val="28"/>
          <w:szCs w:val="28"/>
        </w:rPr>
        <w:t>ий на территории населенного пункта;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при проведении диспансеризации определенных групп взрослого населения, профилактических медицинских осмотров проводит опрос (анкетирование) граждан, расчет на основании антропометрии (измерения роста, веса, массы тел</w:t>
      </w:r>
      <w:r>
        <w:rPr>
          <w:sz w:val="28"/>
          <w:szCs w:val="28"/>
        </w:rPr>
        <w:t>а, окружности талии) индекса массы тела, измерение артериального давления на периферических артериях, при наличии экспресс-тестов измерение уровня общего холестерина крови, уровня глюкозы крови натощак, организовывает выполнение приемов (осмотров), медицин</w:t>
      </w:r>
      <w:r>
        <w:rPr>
          <w:sz w:val="28"/>
          <w:szCs w:val="28"/>
        </w:rPr>
        <w:t>ских исследований и иных медицинских вмешательств, входящих в объем профилактического медицинского осмотра и первого этапа диспансеризации;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осуществляет контроль явки жителями населенного пункта по приглашению на профилактические медицинские мероприятия</w:t>
      </w:r>
      <w:r>
        <w:rPr>
          <w:sz w:val="28"/>
          <w:szCs w:val="28"/>
        </w:rPr>
        <w:t xml:space="preserve"> (профилактические медицинские осмотры, диспансеризацию определенных групп взрослого населения);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осуществляет по назначению врача (фельдшера) медицинские манипуляции в рамках своей компетенции;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способствует взаимодействию между медицинской организаци</w:t>
      </w:r>
      <w:r>
        <w:rPr>
          <w:sz w:val="28"/>
          <w:szCs w:val="28"/>
        </w:rPr>
        <w:t>ей и гражданином по вопросам льготного обеспечения лекарственными препаратами в амбулаторных условиях в соответствии с нормативными правовыми актами Российской Федерации и Новосибирской области;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оказывает экстренную доврачебную медицинскую помощь в слу</w:t>
      </w:r>
      <w:r>
        <w:rPr>
          <w:sz w:val="28"/>
          <w:szCs w:val="28"/>
        </w:rPr>
        <w:t>чае необходимости;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вызывает бригаду скорой медицинской помощи в случае необходимости.</w:t>
      </w:r>
    </w:p>
    <w:p w:rsidR="00314843" w:rsidRDefault="00745457">
      <w:pPr>
        <w:pStyle w:val="af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период реализации пилотного проекта с целью проведения оценки эффективности реализации пилотного проекта главный врач организует предоставление в Минздрав НСО от</w:t>
      </w:r>
      <w:r>
        <w:rPr>
          <w:sz w:val="28"/>
          <w:szCs w:val="28"/>
        </w:rPr>
        <w:t xml:space="preserve">чета по прилагаемой к настоящим Правилам форме ежеквартально не позднее 15 числа месяца, следующего за отчетным периодом, на адрес электронной почты: 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nso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14843" w:rsidRDefault="00314843">
      <w:pPr>
        <w:pStyle w:val="aff2"/>
        <w:ind w:firstLine="709"/>
        <w:jc w:val="both"/>
        <w:rPr>
          <w:sz w:val="28"/>
          <w:szCs w:val="28"/>
        </w:rPr>
      </w:pPr>
    </w:p>
    <w:p w:rsidR="00314843" w:rsidRDefault="00314843">
      <w:pPr>
        <w:pStyle w:val="aff2"/>
        <w:ind w:firstLine="709"/>
        <w:jc w:val="both"/>
        <w:rPr>
          <w:sz w:val="28"/>
          <w:szCs w:val="28"/>
        </w:rPr>
      </w:pPr>
    </w:p>
    <w:p w:rsidR="00314843" w:rsidRDefault="00745457">
      <w:pPr>
        <w:pStyle w:val="aff2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314843">
      <w:headerReference w:type="default" r:id="rId7"/>
      <w:pgSz w:w="11906" w:h="16838"/>
      <w:pgMar w:top="1134" w:right="566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57" w:rsidRDefault="00745457">
      <w:pPr>
        <w:pStyle w:val="1a"/>
        <w:spacing w:after="0" w:line="240" w:lineRule="auto"/>
      </w:pPr>
      <w:r>
        <w:separator/>
      </w:r>
    </w:p>
  </w:endnote>
  <w:endnote w:type="continuationSeparator" w:id="0">
    <w:p w:rsidR="00745457" w:rsidRDefault="00745457">
      <w:pPr>
        <w:pStyle w:val="1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Devanagari">
    <w:charset w:val="00"/>
    <w:family w:val="auto"/>
    <w:pitch w:val="default"/>
  </w:font>
  <w:font w:name="Andale Sans UI">
    <w:charset w:val="00"/>
    <w:family w:val="auto"/>
    <w:pitch w:val="default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57" w:rsidRDefault="00745457">
      <w:pPr>
        <w:pStyle w:val="1a"/>
        <w:spacing w:after="0" w:line="240" w:lineRule="auto"/>
      </w:pPr>
      <w:r>
        <w:separator/>
      </w:r>
    </w:p>
  </w:footnote>
  <w:footnote w:type="continuationSeparator" w:id="0">
    <w:p w:rsidR="00745457" w:rsidRDefault="00745457">
      <w:pPr>
        <w:pStyle w:val="1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43" w:rsidRDefault="0074545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63C46">
      <w:rPr>
        <w:noProof/>
      </w:rPr>
      <w:t>2</w:t>
    </w:r>
    <w:r>
      <w:fldChar w:fldCharType="end"/>
    </w:r>
  </w:p>
  <w:p w:rsidR="00314843" w:rsidRDefault="00314843">
    <w:pPr>
      <w:pStyle w:val="ab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4062C"/>
    <w:multiLevelType w:val="hybridMultilevel"/>
    <w:tmpl w:val="FFCCDA08"/>
    <w:lvl w:ilvl="0" w:tplc="10725CF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DE0A27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EA04D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E82E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E24E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B2A1E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BE435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881C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78DF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843"/>
    <w:rsid w:val="00314843"/>
    <w:rsid w:val="00745457"/>
    <w:rsid w:val="007E49E4"/>
    <w:rsid w:val="00956C7E"/>
    <w:rsid w:val="00B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0551"/>
  <w15:docId w15:val="{DF286BDB-1B90-4986-B2A5-EAD89945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qFormat/>
    <w:pPr>
      <w:widowControl w:val="0"/>
      <w:numPr>
        <w:numId w:val="1"/>
      </w:numPr>
      <w:ind w:left="85" w:right="70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3">
    <w:name w:val="Основной шрифт абзаца1"/>
  </w:style>
  <w:style w:type="character" w:customStyle="1" w:styleId="afa">
    <w:name w:val="Название Знак"/>
    <w:rPr>
      <w:b/>
      <w:sz w:val="28"/>
      <w:szCs w:val="24"/>
      <w:lang w:val="ru-RU" w:bidi="ar-SA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14">
    <w:name w:val="Заголовок 1 Знак"/>
    <w:rPr>
      <w:b/>
      <w:bCs/>
      <w:sz w:val="28"/>
      <w:szCs w:val="28"/>
      <w:lang w:bidi="ru-RU"/>
    </w:rPr>
  </w:style>
  <w:style w:type="character" w:customStyle="1" w:styleId="afc">
    <w:name w:val="Основной текст Знак"/>
    <w:rPr>
      <w:sz w:val="24"/>
      <w:szCs w:val="24"/>
    </w:rPr>
  </w:style>
  <w:style w:type="character" w:customStyle="1" w:styleId="extended-textshort">
    <w:name w:val="extended-text__short"/>
    <w:basedOn w:val="13"/>
  </w:style>
  <w:style w:type="character" w:customStyle="1" w:styleId="postbody1">
    <w:name w:val="postbody1"/>
    <w:rPr>
      <w:sz w:val="18"/>
      <w:szCs w:val="18"/>
    </w:rPr>
  </w:style>
  <w:style w:type="character" w:styleId="afd">
    <w:name w:val="Strong"/>
    <w:qFormat/>
    <w:rPr>
      <w:b/>
      <w:bCs/>
    </w:rPr>
  </w:style>
  <w:style w:type="character" w:customStyle="1" w:styleId="26">
    <w:name w:val="Основной текст с отступом 2 Знак"/>
    <w:rPr>
      <w:rFonts w:ascii="Calibri" w:eastAsia="Calibri" w:hAnsi="Calibri" w:cs="Times New Roman"/>
      <w:sz w:val="22"/>
      <w:szCs w:val="22"/>
    </w:rPr>
  </w:style>
  <w:style w:type="character" w:customStyle="1" w:styleId="afe">
    <w:name w:val="Текст выноски Знак"/>
    <w:rPr>
      <w:rFonts w:ascii="Tahoma" w:hAnsi="Tahoma" w:cs="Tahoma"/>
      <w:sz w:val="16"/>
      <w:szCs w:val="16"/>
    </w:rPr>
  </w:style>
  <w:style w:type="character" w:customStyle="1" w:styleId="layout">
    <w:name w:val="layout"/>
    <w:basedOn w:val="13"/>
  </w:style>
  <w:style w:type="paragraph" w:customStyle="1" w:styleId="27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f">
    <w:name w:val="List"/>
    <w:basedOn w:val="a0"/>
    <w:rPr>
      <w:rFonts w:cs="Droid Sans Devanagari"/>
    </w:rPr>
  </w:style>
  <w:style w:type="paragraph" w:customStyle="1" w:styleId="28">
    <w:name w:val="Указатель2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15">
    <w:name w:val="Заголовок1"/>
    <w:basedOn w:val="a"/>
    <w:next w:val="a0"/>
    <w:pPr>
      <w:ind w:right="27"/>
      <w:jc w:val="center"/>
    </w:pPr>
    <w:rPr>
      <w:b/>
      <w:sz w:val="28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Droid Sans Devanagari"/>
    </w:rPr>
  </w:style>
  <w:style w:type="paragraph" w:customStyle="1" w:styleId="aff0">
    <w:name w:val="Колонтитул"/>
    <w:basedOn w:val="18"/>
    <w:pPr>
      <w:jc w:val="right"/>
    </w:pPr>
    <w:rPr>
      <w:rFonts w:ascii="Times New Roman" w:eastAsia="Times New Roman" w:hAnsi="Times New Roman" w:cs="Times New Roman"/>
    </w:rPr>
  </w:style>
  <w:style w:type="paragraph" w:customStyle="1" w:styleId="aff1">
    <w:name w:val="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styleId="aff2">
    <w:name w:val="No Spacing"/>
    <w:qFormat/>
    <w:rPr>
      <w:sz w:val="24"/>
      <w:szCs w:val="24"/>
      <w:lang w:eastAsia="zh-CN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ff5">
    <w:name w:val="Знак Знак Знак Знак Знак Знак 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6">
    <w:name w:val="Normal (Web)"/>
    <w:basedOn w:val="a"/>
    <w:pPr>
      <w:spacing w:before="75" w:after="75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msonormalmrcssattr">
    <w:name w:val="msonormal_mr_css_attr"/>
    <w:basedOn w:val="a"/>
    <w:pPr>
      <w:spacing w:before="280" w:after="280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18">
    <w:name w:val="Обычный1"/>
    <w:pPr>
      <w:widowControl w:val="0"/>
    </w:pPr>
    <w:rPr>
      <w:rFonts w:ascii="Liberation Serif" w:eastAsia="Droid Sans Fallback" w:hAnsi="Liberation Serif" w:cs="Droid Sans Devanagari"/>
      <w:color w:val="000000"/>
      <w:sz w:val="24"/>
      <w:szCs w:val="24"/>
      <w:lang w:eastAsia="zh-CN" w:bidi="hi-IN"/>
    </w:rPr>
  </w:style>
  <w:style w:type="paragraph" w:customStyle="1" w:styleId="aff9">
    <w:name w:val="Другое"/>
    <w:basedOn w:val="18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сновной текст1"/>
    <w:basedOn w:val="18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1a">
    <w:name w:val="Обычная таблица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PNO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lastModifiedBy>Майер Евгения Андреевна</cp:lastModifiedBy>
  <cp:revision>29</cp:revision>
  <dcterms:created xsi:type="dcterms:W3CDTF">2021-05-17T04:03:00Z</dcterms:created>
  <dcterms:modified xsi:type="dcterms:W3CDTF">2024-11-26T10:20:00Z</dcterms:modified>
  <cp:version>1048576</cp:version>
</cp:coreProperties>
</file>