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commentsDocument.xml" ContentType="application/vnd.openxmlformats-officedocument.wordprocessingml.comment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commentsExtendedDocument.xml" ContentType="application/vnd.openxmlformats-officedocument.wordprocessingml.commentsExtended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IdsDocument.xml" ContentType="application/vnd.openxmlformats-officedocument.wordprocessingml.commentsId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eastAsia="Calibri"/>
          <w:sz w:val="28"/>
          <w:szCs w:val="28"/>
          <w:lang w:eastAsia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42925" cy="657225"/>
                <wp:effectExtent l="0" t="0" r="0" b="0"/>
                <wp:wrapSquare wrapText="bothSides"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so-position-horizontal:center;mso-position-vertical-relative:text;margin-top:0.60pt;mso-position-vertical:absolute;width:42.75pt;height:51.75pt;mso-wrap-distance-left:9.00pt;mso-wrap-distance-top:0.00pt;mso-wrap-distance-right:9.00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61"/>
      </w:tblGrid>
      <w:tr>
        <w:tblPrEx/>
        <w:trPr>
          <w:trHeight w:val="356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МИНИСТЕРСТВО ЗДРАВООХРАНЕНИЯ НОВОСИБИРСКОЙ ОБЛАСТИ</w:t>
            </w:r>
            <w:r>
              <w:rPr>
                <w:b/>
                <w:sz w:val="28"/>
                <w:szCs w:val="28"/>
                <w:lang w:eastAsia="en-US"/>
              </w:rPr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22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3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</w:p>
        </w:tc>
      </w:tr>
      <w:tr>
        <w:tblPrEx/>
        <w:trPr>
          <w:trHeight w:val="339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ПРИКАЗ</w:t>
            </w:r>
            <w:r>
              <w:rPr>
                <w:b/>
                <w:sz w:val="28"/>
                <w:lang w:eastAsia="en-US"/>
              </w:rPr>
            </w:r>
            <w:r>
              <w:rPr>
                <w:b/>
                <w:sz w:val="28"/>
                <w:lang w:eastAsia="en-US"/>
              </w:rPr>
            </w:r>
          </w:p>
        </w:tc>
      </w:tr>
      <w:tr>
        <w:tblPrEx/>
        <w:trPr>
          <w:trHeight w:val="356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75" w:type="dxa"/>
            <w:textDirection w:val="lrTb"/>
            <w:noWrap w:val="false"/>
          </w:tcPr>
          <w:p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5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61" w:type="dxa"/>
            <w:textDirection w:val="lrTb"/>
            <w:noWrap w:val="false"/>
          </w:tcPr>
          <w:p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Новосибирск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</w:p>
        </w:tc>
        <w:tc>
          <w:tcPr>
            <w:gridSpan w:val="2"/>
            <w:tcW w:w="5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</w:p>
        </w:tc>
        <w:tc>
          <w:tcPr>
            <w:tcW w:w="146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  <w:r>
              <w:rPr>
                <w:sz w:val="18"/>
                <w:szCs w:val="24"/>
                <w:lang w:eastAsia="en-US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Об организации обеспечения больных туберкулезом продуктовыми наборами в рамках мероприятия (результата)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Обеспечена закупка продуктовых наборов для больных туберкулезом с целью формирования приверженности больных к амбулаторному контролируемому лечению</w:t>
      </w:r>
      <w:r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</w:rPr>
        <w:t xml:space="preserve">комплекса процессных мероприятий «Оказания специализированной, включая высокотехнологичную, медицинской помощи, скорой,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в том числе скорой специализированной, медицинской эвакуации»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В целях формирования приверженности к лечению у больных туберкулезом, проходящих контролируемое амбулаторное лечение, в рамках мероприятия (результата)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Обеспечена закупка продуктовых наборов для больных туберкулезом с целью формирования приверженности больных к амбулаторному контролируемому лечению</w:t>
      </w:r>
      <w:r>
        <w:rPr>
          <w:sz w:val="28"/>
          <w:szCs w:val="28"/>
        </w:rPr>
        <w:t xml:space="preserve">»</w:t>
      </w:r>
      <w:r>
        <w:rPr>
          <w:sz w:val="28"/>
        </w:rPr>
        <w:t xml:space="preserve"> комплекса процессных мер</w:t>
      </w:r>
      <w:r>
        <w:rPr>
          <w:sz w:val="28"/>
        </w:rPr>
        <w:t xml:space="preserve">оприятий «Оказания специализированной, включая высокотехнологичную, медицинской помощи, скорой, в том числе скорой специализированной, медицинской эвакуации» </w:t>
      </w:r>
      <w:r>
        <w:rPr>
          <w:sz w:val="28"/>
          <w:szCs w:val="28"/>
        </w:rPr>
        <w:t xml:space="preserve">государственной программы «Развитие здравоохранения Новосибирской области», утвержденной Постановл</w:t>
      </w:r>
      <w:r>
        <w:rPr>
          <w:sz w:val="28"/>
          <w:szCs w:val="28"/>
        </w:rPr>
        <w:t xml:space="preserve">ением Правительства Новосибирской области от 07.05.2013 № 199-п «Об утверждении</w:t>
      </w:r>
      <w:r>
        <w:rPr>
          <w:sz w:val="28"/>
        </w:rPr>
        <w:t xml:space="preserve">, </w:t>
      </w:r>
      <w:r>
        <w:rPr>
          <w:b/>
          <w:bCs/>
          <w:sz w:val="28"/>
        </w:rPr>
        <w:t xml:space="preserve">п р и к а з ы в а ю</w:t>
      </w:r>
      <w:r>
        <w:rPr>
          <w:bCs/>
          <w:sz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1. Утвердить прилагаемые: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1)</w:t>
      </w:r>
      <w:r>
        <w:rPr>
          <w:b/>
          <w:sz w:val="28"/>
        </w:rPr>
        <w:t xml:space="preserve"> </w:t>
      </w:r>
      <w:r>
        <w:rPr>
          <w:sz w:val="28"/>
        </w:rPr>
        <w:t xml:space="preserve">перечень условий обеспечения больных туберкулезом продуктовыми наборами;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2) с</w:t>
      </w:r>
      <w:r>
        <w:rPr>
          <w:sz w:val="28"/>
        </w:rPr>
        <w:t xml:space="preserve">опроводительный лист на больного туберкулезом, получающего контролируемое амбулаторное лечение;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3) состав продуктового набора для больных туберкулезом, проходящих контролируемое амбулаторное лечение;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4) форму отчета о выдаче продуктовых наборов для больных</w:t>
      </w:r>
      <w:r>
        <w:rPr>
          <w:sz w:val="28"/>
        </w:rPr>
        <w:t xml:space="preserve"> туберкулезом;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5) разнарядку на продуктовые наборы для больных туберкулезом, получающих контролируемое амбулаторное лечение (далее – разнарядка).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2.</w:t>
      </w:r>
      <w:r>
        <w:rPr>
          <w:sz w:val="28"/>
          <w:lang w:val="en-US"/>
        </w:rPr>
        <w:t xml:space="preserve"> </w:t>
      </w:r>
      <w:r>
        <w:rPr>
          <w:sz w:val="28"/>
        </w:rPr>
        <w:t xml:space="preserve">Утвердить объем финансирования, выделяемого государственному бюджетному учреждению здравоохранения Новосиби</w:t>
      </w:r>
      <w:r>
        <w:rPr>
          <w:sz w:val="28"/>
        </w:rPr>
        <w:t xml:space="preserve">рской области «Государственная областная Новосибирская клиническая туберкулёзная больница» (далее – ГБУЗ НСО «ГОНКТБ») на закупку продуктовых наборов для больных туберкулезом в сумме 4 500 000,00 рублей за счет средств областного бюджета Новосибирской обла</w:t>
      </w:r>
      <w:r>
        <w:rPr>
          <w:sz w:val="28"/>
        </w:rPr>
        <w:t xml:space="preserve">сти, предусмотренных в 2025 году.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3. Главному врачу ГБУЗ НСО «ГОНКТБ» Пятибратовой А.В. обеспечить: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1) закупку продуктовых наборов для больных туберкулезом в рамках мероприятия (результата) «</w:t>
      </w:r>
      <w:r>
        <w:rPr>
          <w:sz w:val="28"/>
          <w:szCs w:val="28"/>
        </w:rPr>
        <w:t xml:space="preserve">Обеспечена закупка продуктовых наборов для больных туберкулезом с целью формирования приверженности больных к амбулаторному контролируемому лечению</w:t>
      </w:r>
      <w:r>
        <w:rPr>
          <w:sz w:val="28"/>
        </w:rPr>
        <w:t xml:space="preserve">» комплекса процессных мероприятий «Оказания специализированной, включая высокотехнологичную, медицинской помощи, скорой, в том числе скорой специализированной, медицинской эвакуации» </w:t>
      </w:r>
      <w:r>
        <w:rPr>
          <w:sz w:val="28"/>
          <w:szCs w:val="28"/>
        </w:rPr>
        <w:t xml:space="preserve">государственной программы «Развитие здравоохранения Новосибирск</w:t>
      </w:r>
      <w:r>
        <w:rPr>
          <w:sz w:val="28"/>
          <w:szCs w:val="28"/>
        </w:rPr>
        <w:t xml:space="preserve">ой области»</w:t>
      </w:r>
      <w:r>
        <w:rPr>
          <w:sz w:val="28"/>
        </w:rPr>
        <w:t xml:space="preserve">, утвержденной постановлением Правительства Новосибирской области от 07.05.2013 № 199-п;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2) передачу продуктовых наборов для больных туберкулезом государственным медицинским организациям Новосибирской области подведомственным министерству здраво</w:t>
      </w:r>
      <w:r>
        <w:rPr>
          <w:sz w:val="28"/>
        </w:rPr>
        <w:t xml:space="preserve">охранения Новосибирской области (далее – медицинские организации НСО) в соответствии с разнарядкой.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highlight w:val="none"/>
        </w:rPr>
        <w:t xml:space="preserve">3) предоставить отчет по достижению значений результатов по предоставленной субсидии, и сроков исполнения результатов (контрольная точка) в срок согласно приложению на адрес электронной почты: </w:t>
      </w:r>
      <w:r>
        <w:rPr>
          <w:sz w:val="28"/>
          <w:highlight w:val="none"/>
          <w:lang w:val="en-US"/>
        </w:rPr>
        <w:t xml:space="preserve">eela@ngs.ru</w:t>
      </w:r>
      <w:r>
        <w:rPr>
          <w:sz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4. Руководителям медицинских организаций НСО, указанных в разнарядке, обеспечить: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1) получение продуктовых наборов для больных туберкулезом из ГБУЗ НСО «ГОН</w:t>
      </w:r>
      <w:r>
        <w:rPr>
          <w:sz w:val="28"/>
        </w:rPr>
        <w:t xml:space="preserve">КТБ»;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2) учет принятых продуктовых наборов для больных туберкулезом в соответствии с </w:t>
      </w:r>
      <w:r>
        <w:rPr>
          <w:sz w:val="28"/>
          <w:szCs w:val="28"/>
        </w:rPr>
        <w:t xml:space="preserve">Инструкцией по применению Плана счетов бухгалтерского учета бюджетных учреждений</w:t>
      </w:r>
      <w:r>
        <w:rPr>
          <w:sz w:val="28"/>
        </w:rPr>
        <w:t xml:space="preserve">, утвержденной приказом Министерства финансов Российской Федерации от 16.12.2010 № 174н «Об</w:t>
      </w:r>
      <w:r>
        <w:rPr>
          <w:sz w:val="28"/>
        </w:rPr>
        <w:t xml:space="preserve"> утверждении Плана счетов бухгалтерского учета бюджетных учреждений и Инструкции по его применению»;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3) хранение и распределение продуктовых наборов для больных туберкулезом в соответствии с действующими нормативно-правовыми актами</w:t>
      </w:r>
      <w:r>
        <w:rPr>
          <w:sz w:val="28"/>
          <w:szCs w:val="28"/>
        </w:rPr>
        <w:t xml:space="preserve"> Российской Федерации и Новосибирской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4) ежеквартально до 5 ч</w:t>
      </w:r>
      <w:r>
        <w:rPr>
          <w:sz w:val="28"/>
        </w:rPr>
        <w:t xml:space="preserve">исла месяца, следующего за отчетным кварталом, предоставление в ГБУЗ НСО «ГОНКТБ» отчета о выдаче продуктовых наборов для больных туберкулезом на адрес электронной почты </w:t>
      </w:r>
      <w:hyperlink r:id="rId12" w:tooltip="https://mail.yandex.ru/?from=vbff&amp;uid=1413397699#compose?to=%3Coptdomo%40mail.ru%3E" w:anchor="compose?to=%3Coptdomo%40mail.ru%3E" w:history="1">
        <w:r>
          <w:rPr>
            <w:sz w:val="28"/>
          </w:rPr>
          <w:t xml:space="preserve">optdomo@mail.ru</w:t>
        </w:r>
      </w:hyperlink>
      <w:r>
        <w:rPr>
          <w:sz w:val="28"/>
        </w:rPr>
        <w:t xml:space="preserve"> (тема письма «отчет по прод</w:t>
      </w:r>
      <w:r>
        <w:rPr>
          <w:sz w:val="28"/>
        </w:rPr>
        <w:t xml:space="preserve">уктовым наборам</w:t>
      </w:r>
      <w:r>
        <w:rPr>
          <w:sz w:val="28"/>
        </w:rPr>
        <w:t xml:space="preserve">, наименование медицинской организации</w:t>
      </w:r>
      <w:r>
        <w:rPr>
          <w:sz w:val="28"/>
        </w:rPr>
        <w:t xml:space="preserve">»</w:t>
      </w:r>
      <w:r>
        <w:rPr>
          <w:sz w:val="28"/>
        </w:rPr>
        <w:t xml:space="preserve">)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 Контроль за исполнением настоящего приказа возложить на заместителя министра здравоохранения Новосибирской области</w:t>
      </w:r>
      <w:r>
        <w:rPr>
          <w:sz w:val="28"/>
        </w:rPr>
        <w:t xml:space="preserve"> Аксенову Е.А.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20"/>
        <w:gridCol w:w="5406"/>
      </w:tblGrid>
      <w:tr>
        <w:tblPrEx/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0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Министр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06" w:type="dxa"/>
            <w:textDirection w:val="lrTb"/>
            <w:noWrap w:val="false"/>
          </w:tcPr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Р.М. Заблоцкий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О.В. Беушева</w:t>
      </w:r>
      <w:r/>
    </w:p>
    <w:p>
      <w:pPr>
        <w:jc w:val="both"/>
        <w:rPr>
          <w:highlight w:val="none"/>
        </w:rPr>
      </w:pPr>
      <w:r>
        <w:t xml:space="preserve">238 62 55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92" w:right="567" w:bottom="1134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Макаров Владимир Владимирович" w:date="2024-06-28T11:34:00Z" w:initials="МВ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 пределами полномочий министерства 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DC72A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7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1981"/>
      <w:spacing w:line="223" w:lineRule="exact"/>
    </w:pPr>
    <w:r>
      <w:t xml:space="preserve">Приложение № </w:t>
    </w:r>
    <w:r>
      <w:fldChar w:fldCharType="begin"/>
    </w:r>
    <w:r>
      <w:instrText xml:space="preserve">PAGE</w:instrText>
    </w:r>
    <w:r>
      <w:fldChar w:fldCharType="separate"/>
    </w:r>
    <w:r>
      <w:t xml:space="preserve">4</w:t>
    </w:r>
    <w:r>
      <w:fldChar w:fldCharType="end"/>
    </w:r>
    <w:r>
      <w:t xml:space="preserve">к приказу министерства здравоохранения Новосибирской области</w:t>
    </w:r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3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2"/>
  </w:num>
  <w:num w:numId="5">
    <w:abstractNumId w:val="15"/>
  </w:num>
  <w:num w:numId="6">
    <w:abstractNumId w:val="15"/>
    <w:lvlOverride w:ilvl="0">
      <w:lvl w:ilvl="0">
        <w:start w:val="3"/>
        <w:numFmt w:val="decimal"/>
        <w:isLgl w:val="false"/>
        <w:suff w:val="tab"/>
        <w:lvlText w:val="3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7">
    <w:abstractNumId w:val="3"/>
  </w:num>
  <w:num w:numId="8">
    <w:abstractNumId w:val="14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18"/>
  </w:num>
  <w:num w:numId="14">
    <w:abstractNumId w:val="9"/>
  </w:num>
  <w:num w:numId="15">
    <w:abstractNumId w:val="13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6">
    <w:abstractNumId w:val="17"/>
  </w:num>
  <w:num w:numId="17">
    <w:abstractNumId w:val="6"/>
  </w:num>
  <w:num w:numId="18">
    <w:abstractNumId w:val="16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Heading 1 Char"/>
    <w:basedOn w:val="758"/>
    <w:link w:val="749"/>
    <w:uiPriority w:val="9"/>
    <w:rPr>
      <w:rFonts w:ascii="Arial" w:hAnsi="Arial" w:eastAsia="Arial" w:cs="Arial"/>
      <w:sz w:val="40"/>
      <w:szCs w:val="40"/>
    </w:rPr>
  </w:style>
  <w:style w:type="character" w:styleId="734">
    <w:name w:val="Heading 2 Char"/>
    <w:basedOn w:val="758"/>
    <w:link w:val="750"/>
    <w:uiPriority w:val="9"/>
    <w:rPr>
      <w:rFonts w:ascii="Arial" w:hAnsi="Arial" w:eastAsia="Arial" w:cs="Arial"/>
      <w:sz w:val="34"/>
    </w:rPr>
  </w:style>
  <w:style w:type="character" w:styleId="735">
    <w:name w:val="Heading 3 Char"/>
    <w:basedOn w:val="758"/>
    <w:link w:val="751"/>
    <w:uiPriority w:val="9"/>
    <w:rPr>
      <w:rFonts w:ascii="Arial" w:hAnsi="Arial" w:eastAsia="Arial" w:cs="Arial"/>
      <w:sz w:val="30"/>
      <w:szCs w:val="30"/>
    </w:rPr>
  </w:style>
  <w:style w:type="character" w:styleId="736">
    <w:name w:val="Heading 4 Char"/>
    <w:basedOn w:val="758"/>
    <w:link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737">
    <w:name w:val="Heading 5 Char"/>
    <w:basedOn w:val="758"/>
    <w:link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38">
    <w:name w:val="Heading 6 Char"/>
    <w:basedOn w:val="758"/>
    <w:link w:val="754"/>
    <w:uiPriority w:val="9"/>
    <w:rPr>
      <w:rFonts w:ascii="Arial" w:hAnsi="Arial" w:eastAsia="Arial" w:cs="Arial"/>
      <w:b/>
      <w:bCs/>
      <w:sz w:val="22"/>
      <w:szCs w:val="22"/>
    </w:rPr>
  </w:style>
  <w:style w:type="character" w:styleId="739">
    <w:name w:val="Heading 7 Char"/>
    <w:basedOn w:val="758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8 Char"/>
    <w:basedOn w:val="758"/>
    <w:link w:val="756"/>
    <w:uiPriority w:val="9"/>
    <w:rPr>
      <w:rFonts w:ascii="Arial" w:hAnsi="Arial" w:eastAsia="Arial" w:cs="Arial"/>
      <w:i/>
      <w:iCs/>
      <w:sz w:val="22"/>
      <w:szCs w:val="22"/>
    </w:rPr>
  </w:style>
  <w:style w:type="character" w:styleId="741">
    <w:name w:val="Heading 9 Char"/>
    <w:basedOn w:val="758"/>
    <w:link w:val="757"/>
    <w:uiPriority w:val="9"/>
    <w:rPr>
      <w:rFonts w:ascii="Arial" w:hAnsi="Arial" w:eastAsia="Arial" w:cs="Arial"/>
      <w:i/>
      <w:iCs/>
      <w:sz w:val="21"/>
      <w:szCs w:val="21"/>
    </w:rPr>
  </w:style>
  <w:style w:type="character" w:styleId="742">
    <w:name w:val="Title Char"/>
    <w:basedOn w:val="758"/>
    <w:link w:val="772"/>
    <w:uiPriority w:val="10"/>
    <w:rPr>
      <w:sz w:val="48"/>
      <w:szCs w:val="48"/>
    </w:rPr>
  </w:style>
  <w:style w:type="character" w:styleId="743">
    <w:name w:val="Subtitle Char"/>
    <w:basedOn w:val="758"/>
    <w:link w:val="774"/>
    <w:uiPriority w:val="11"/>
    <w:rPr>
      <w:sz w:val="24"/>
      <w:szCs w:val="24"/>
    </w:rPr>
  </w:style>
  <w:style w:type="character" w:styleId="744">
    <w:name w:val="Quote Char"/>
    <w:link w:val="776"/>
    <w:uiPriority w:val="29"/>
    <w:rPr>
      <w:i/>
    </w:rPr>
  </w:style>
  <w:style w:type="character" w:styleId="745">
    <w:name w:val="Intense Quote Char"/>
    <w:link w:val="778"/>
    <w:uiPriority w:val="30"/>
    <w:rPr>
      <w:i/>
    </w:rPr>
  </w:style>
  <w:style w:type="character" w:styleId="746">
    <w:name w:val="Footnote Text Char"/>
    <w:link w:val="913"/>
    <w:uiPriority w:val="99"/>
    <w:rPr>
      <w:sz w:val="18"/>
    </w:rPr>
  </w:style>
  <w:style w:type="character" w:styleId="747">
    <w:name w:val="Endnote Text Char"/>
    <w:link w:val="916"/>
    <w:uiPriority w:val="99"/>
    <w:rPr>
      <w:sz w:val="20"/>
    </w:rPr>
  </w:style>
  <w:style w:type="paragraph" w:styleId="748" w:default="1">
    <w:name w:val="Normal"/>
    <w:qFormat/>
    <w:rPr>
      <w:lang w:eastAsia="ru-RU"/>
    </w:rPr>
  </w:style>
  <w:style w:type="paragraph" w:styleId="749">
    <w:name w:val="Heading 1"/>
    <w:basedOn w:val="748"/>
    <w:next w:val="748"/>
    <w:link w:val="76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50">
    <w:name w:val="Heading 2"/>
    <w:basedOn w:val="748"/>
    <w:next w:val="748"/>
    <w:link w:val="762"/>
    <w:qFormat/>
    <w:pPr>
      <w:ind w:right="27"/>
      <w:jc w:val="center"/>
      <w:keepNext/>
      <w:outlineLvl w:val="1"/>
    </w:pPr>
    <w:rPr>
      <w:b/>
      <w:sz w:val="32"/>
    </w:rPr>
  </w:style>
  <w:style w:type="paragraph" w:styleId="751">
    <w:name w:val="Heading 3"/>
    <w:basedOn w:val="748"/>
    <w:next w:val="748"/>
    <w:link w:val="763"/>
    <w:qFormat/>
    <w:pPr>
      <w:jc w:val="center"/>
      <w:keepNext/>
      <w:outlineLvl w:val="2"/>
    </w:pPr>
    <w:rPr>
      <w:sz w:val="28"/>
    </w:rPr>
  </w:style>
  <w:style w:type="paragraph" w:styleId="752">
    <w:name w:val="Heading 4"/>
    <w:basedOn w:val="748"/>
    <w:next w:val="748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748"/>
    <w:next w:val="748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748"/>
    <w:next w:val="748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748"/>
    <w:next w:val="748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748"/>
    <w:next w:val="748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748"/>
    <w:next w:val="748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 w:default="1">
    <w:name w:val="Default Paragraph Font"/>
    <w:uiPriority w:val="1"/>
    <w:semiHidden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character" w:styleId="761" w:customStyle="1">
    <w:name w:val="Заголовок 1 Знак"/>
    <w:link w:val="749"/>
    <w:uiPriority w:val="9"/>
    <w:rPr>
      <w:rFonts w:ascii="Arial" w:hAnsi="Arial" w:eastAsia="Arial" w:cs="Arial"/>
      <w:sz w:val="40"/>
      <w:szCs w:val="40"/>
    </w:rPr>
  </w:style>
  <w:style w:type="character" w:styleId="762" w:customStyle="1">
    <w:name w:val="Заголовок 2 Знак"/>
    <w:link w:val="750"/>
    <w:uiPriority w:val="9"/>
    <w:rPr>
      <w:rFonts w:ascii="Arial" w:hAnsi="Arial" w:eastAsia="Arial" w:cs="Arial"/>
      <w:sz w:val="34"/>
    </w:rPr>
  </w:style>
  <w:style w:type="character" w:styleId="763" w:customStyle="1">
    <w:name w:val="Заголовок 3 Знак"/>
    <w:link w:val="751"/>
    <w:uiPriority w:val="9"/>
    <w:rPr>
      <w:rFonts w:ascii="Arial" w:hAnsi="Arial" w:eastAsia="Arial" w:cs="Arial"/>
      <w:sz w:val="30"/>
      <w:szCs w:val="30"/>
    </w:rPr>
  </w:style>
  <w:style w:type="character" w:styleId="764" w:customStyle="1">
    <w:name w:val="Заголовок 4 Знак"/>
    <w:link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765" w:customStyle="1">
    <w:name w:val="Заголовок 5 Знак"/>
    <w:link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66" w:customStyle="1">
    <w:name w:val="Заголовок 6 Знак"/>
    <w:link w:val="754"/>
    <w:uiPriority w:val="9"/>
    <w:rPr>
      <w:rFonts w:ascii="Arial" w:hAnsi="Arial" w:eastAsia="Arial" w:cs="Arial"/>
      <w:b/>
      <w:bCs/>
      <w:sz w:val="22"/>
      <w:szCs w:val="22"/>
    </w:rPr>
  </w:style>
  <w:style w:type="character" w:styleId="767" w:customStyle="1">
    <w:name w:val="Заголовок 7 Знак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8" w:customStyle="1">
    <w:name w:val="Заголовок 8 Знак"/>
    <w:link w:val="756"/>
    <w:uiPriority w:val="9"/>
    <w:rPr>
      <w:rFonts w:ascii="Arial" w:hAnsi="Arial" w:eastAsia="Arial" w:cs="Arial"/>
      <w:i/>
      <w:iCs/>
      <w:sz w:val="22"/>
      <w:szCs w:val="22"/>
    </w:rPr>
  </w:style>
  <w:style w:type="character" w:styleId="769" w:customStyle="1">
    <w:name w:val="Заголовок 9 Знак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List Paragraph"/>
    <w:basedOn w:val="748"/>
    <w:uiPriority w:val="34"/>
    <w:qFormat/>
    <w:pPr>
      <w:contextualSpacing/>
      <w:ind w:left="720"/>
    </w:pPr>
  </w:style>
  <w:style w:type="paragraph" w:styleId="771">
    <w:name w:val="No Spacing"/>
    <w:uiPriority w:val="1"/>
    <w:qFormat/>
  </w:style>
  <w:style w:type="paragraph" w:styleId="772">
    <w:name w:val="Title"/>
    <w:basedOn w:val="748"/>
    <w:next w:val="748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 w:customStyle="1">
    <w:name w:val="Заголовок Знак"/>
    <w:link w:val="772"/>
    <w:uiPriority w:val="10"/>
    <w:rPr>
      <w:sz w:val="48"/>
      <w:szCs w:val="48"/>
    </w:rPr>
  </w:style>
  <w:style w:type="paragraph" w:styleId="774">
    <w:name w:val="Subtitle"/>
    <w:basedOn w:val="748"/>
    <w:link w:val="775"/>
    <w:qFormat/>
    <w:pPr>
      <w:ind w:right="27"/>
      <w:jc w:val="center"/>
    </w:pPr>
    <w:rPr>
      <w:b/>
      <w:sz w:val="28"/>
    </w:rPr>
  </w:style>
  <w:style w:type="character" w:styleId="775" w:customStyle="1">
    <w:name w:val="Подзаголовок Знак"/>
    <w:link w:val="774"/>
    <w:uiPriority w:val="11"/>
    <w:rPr>
      <w:sz w:val="24"/>
      <w:szCs w:val="24"/>
    </w:rPr>
  </w:style>
  <w:style w:type="paragraph" w:styleId="776">
    <w:name w:val="Quote"/>
    <w:basedOn w:val="748"/>
    <w:next w:val="748"/>
    <w:link w:val="777"/>
    <w:uiPriority w:val="29"/>
    <w:qFormat/>
    <w:pPr>
      <w:ind w:left="720" w:right="720"/>
    </w:pPr>
    <w:rPr>
      <w:i/>
    </w:rPr>
  </w:style>
  <w:style w:type="character" w:styleId="777" w:customStyle="1">
    <w:name w:val="Цитата 2 Знак"/>
    <w:link w:val="776"/>
    <w:uiPriority w:val="29"/>
    <w:rPr>
      <w:i/>
    </w:rPr>
  </w:style>
  <w:style w:type="paragraph" w:styleId="778">
    <w:name w:val="Intense Quote"/>
    <w:basedOn w:val="748"/>
    <w:next w:val="748"/>
    <w:link w:val="7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 w:customStyle="1">
    <w:name w:val="Выделенная цитата Знак"/>
    <w:link w:val="778"/>
    <w:uiPriority w:val="30"/>
    <w:rPr>
      <w:i/>
    </w:rPr>
  </w:style>
  <w:style w:type="paragraph" w:styleId="780">
    <w:name w:val="Header"/>
    <w:basedOn w:val="748"/>
    <w:link w:val="937"/>
    <w:uiPriority w:val="99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781" w:customStyle="1">
    <w:name w:val="Header Char"/>
    <w:uiPriority w:val="99"/>
  </w:style>
  <w:style w:type="paragraph" w:styleId="782">
    <w:name w:val="Footer"/>
    <w:basedOn w:val="748"/>
    <w:link w:val="934"/>
    <w:pPr>
      <w:tabs>
        <w:tab w:val="center" w:pos="4677" w:leader="none"/>
        <w:tab w:val="right" w:pos="9355" w:leader="none"/>
      </w:tabs>
    </w:pPr>
  </w:style>
  <w:style w:type="character" w:styleId="783" w:customStyle="1">
    <w:name w:val="Footer Char"/>
    <w:uiPriority w:val="99"/>
  </w:style>
  <w:style w:type="paragraph" w:styleId="784">
    <w:name w:val="Caption"/>
    <w:basedOn w:val="748"/>
    <w:next w:val="7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 w:customStyle="1">
    <w:name w:val="Caption Char"/>
    <w:uiPriority w:val="99"/>
  </w:style>
  <w:style w:type="table" w:styleId="786">
    <w:name w:val="Table Grid"/>
    <w:basedOn w:val="759"/>
    <w:uiPriority w:val="59"/>
    <w:rPr>
      <w:lang w:eastAsia="en-US"/>
    </w:rPr>
    <w:tblPr/>
  </w:style>
  <w:style w:type="table" w:styleId="78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2">
    <w:name w:val="Hyperlink"/>
    <w:rPr>
      <w:color w:val="0000ff"/>
      <w:u w:val="single"/>
    </w:rPr>
  </w:style>
  <w:style w:type="paragraph" w:styleId="913">
    <w:name w:val="footnote text"/>
    <w:basedOn w:val="748"/>
    <w:link w:val="914"/>
    <w:uiPriority w:val="99"/>
    <w:semiHidden/>
    <w:unhideWhenUsed/>
    <w:pPr>
      <w:spacing w:after="40"/>
    </w:pPr>
    <w:rPr>
      <w:sz w:val="18"/>
    </w:rPr>
  </w:style>
  <w:style w:type="character" w:styleId="914" w:customStyle="1">
    <w:name w:val="Текст сноски Знак"/>
    <w:link w:val="913"/>
    <w:uiPriority w:val="99"/>
    <w:rPr>
      <w:sz w:val="18"/>
    </w:rPr>
  </w:style>
  <w:style w:type="character" w:styleId="915">
    <w:name w:val="footnote reference"/>
    <w:uiPriority w:val="99"/>
    <w:unhideWhenUsed/>
    <w:rPr>
      <w:vertAlign w:val="superscript"/>
    </w:rPr>
  </w:style>
  <w:style w:type="paragraph" w:styleId="916">
    <w:name w:val="endnote text"/>
    <w:basedOn w:val="748"/>
    <w:link w:val="917"/>
    <w:uiPriority w:val="99"/>
    <w:semiHidden/>
    <w:unhideWhenUsed/>
  </w:style>
  <w:style w:type="character" w:styleId="917" w:customStyle="1">
    <w:name w:val="Текст концевой сноски Знак"/>
    <w:link w:val="916"/>
    <w:uiPriority w:val="99"/>
    <w:rPr>
      <w:sz w:val="20"/>
    </w:rPr>
  </w:style>
  <w:style w:type="character" w:styleId="918">
    <w:name w:val="endnote reference"/>
    <w:uiPriority w:val="99"/>
    <w:semiHidden/>
    <w:unhideWhenUsed/>
    <w:rPr>
      <w:vertAlign w:val="superscript"/>
    </w:rPr>
  </w:style>
  <w:style w:type="paragraph" w:styleId="919">
    <w:name w:val="toc 1"/>
    <w:basedOn w:val="748"/>
    <w:next w:val="748"/>
    <w:uiPriority w:val="39"/>
    <w:unhideWhenUsed/>
    <w:pPr>
      <w:spacing w:after="57"/>
    </w:pPr>
  </w:style>
  <w:style w:type="paragraph" w:styleId="920">
    <w:name w:val="toc 2"/>
    <w:basedOn w:val="748"/>
    <w:next w:val="748"/>
    <w:uiPriority w:val="39"/>
    <w:unhideWhenUsed/>
    <w:pPr>
      <w:ind w:left="283"/>
      <w:spacing w:after="57"/>
    </w:pPr>
  </w:style>
  <w:style w:type="paragraph" w:styleId="921">
    <w:name w:val="toc 3"/>
    <w:basedOn w:val="748"/>
    <w:next w:val="748"/>
    <w:uiPriority w:val="39"/>
    <w:unhideWhenUsed/>
    <w:pPr>
      <w:ind w:left="567"/>
      <w:spacing w:after="57"/>
    </w:pPr>
  </w:style>
  <w:style w:type="paragraph" w:styleId="922">
    <w:name w:val="toc 4"/>
    <w:basedOn w:val="748"/>
    <w:next w:val="748"/>
    <w:uiPriority w:val="39"/>
    <w:unhideWhenUsed/>
    <w:pPr>
      <w:ind w:left="850"/>
      <w:spacing w:after="57"/>
    </w:pPr>
  </w:style>
  <w:style w:type="paragraph" w:styleId="923">
    <w:name w:val="toc 5"/>
    <w:basedOn w:val="748"/>
    <w:next w:val="748"/>
    <w:uiPriority w:val="39"/>
    <w:unhideWhenUsed/>
    <w:pPr>
      <w:ind w:left="1134"/>
      <w:spacing w:after="57"/>
    </w:pPr>
  </w:style>
  <w:style w:type="paragraph" w:styleId="924">
    <w:name w:val="toc 6"/>
    <w:basedOn w:val="748"/>
    <w:next w:val="748"/>
    <w:uiPriority w:val="39"/>
    <w:unhideWhenUsed/>
    <w:pPr>
      <w:ind w:left="1417"/>
      <w:spacing w:after="57"/>
    </w:pPr>
  </w:style>
  <w:style w:type="paragraph" w:styleId="925">
    <w:name w:val="toc 7"/>
    <w:basedOn w:val="748"/>
    <w:next w:val="748"/>
    <w:uiPriority w:val="39"/>
    <w:unhideWhenUsed/>
    <w:pPr>
      <w:ind w:left="1701"/>
      <w:spacing w:after="57"/>
    </w:pPr>
  </w:style>
  <w:style w:type="paragraph" w:styleId="926">
    <w:name w:val="toc 8"/>
    <w:basedOn w:val="748"/>
    <w:next w:val="748"/>
    <w:uiPriority w:val="39"/>
    <w:unhideWhenUsed/>
    <w:pPr>
      <w:ind w:left="1984"/>
      <w:spacing w:after="57"/>
    </w:pPr>
  </w:style>
  <w:style w:type="paragraph" w:styleId="927">
    <w:name w:val="toc 9"/>
    <w:basedOn w:val="748"/>
    <w:next w:val="748"/>
    <w:uiPriority w:val="39"/>
    <w:unhideWhenUsed/>
    <w:pPr>
      <w:ind w:left="2268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748"/>
    <w:next w:val="748"/>
    <w:uiPriority w:val="99"/>
    <w:unhideWhenUsed/>
  </w:style>
  <w:style w:type="paragraph" w:styleId="930" w:customStyle="1">
    <w:name w:val="Название"/>
    <w:basedOn w:val="748"/>
    <w:qFormat/>
    <w:pPr>
      <w:ind w:right="27"/>
      <w:jc w:val="center"/>
    </w:pPr>
    <w:rPr>
      <w:b/>
      <w:sz w:val="28"/>
    </w:rPr>
  </w:style>
  <w:style w:type="paragraph" w:styleId="931">
    <w:name w:val="Body Text"/>
    <w:basedOn w:val="748"/>
    <w:pPr>
      <w:jc w:val="both"/>
    </w:pPr>
    <w:rPr>
      <w:sz w:val="28"/>
    </w:rPr>
  </w:style>
  <w:style w:type="paragraph" w:styleId="932">
    <w:name w:val="Body Text Indent"/>
    <w:basedOn w:val="748"/>
    <w:pPr>
      <w:ind w:left="720"/>
      <w:jc w:val="both"/>
    </w:pPr>
    <w:rPr>
      <w:sz w:val="28"/>
    </w:rPr>
  </w:style>
  <w:style w:type="paragraph" w:styleId="933">
    <w:name w:val="Balloon Text"/>
    <w:basedOn w:val="748"/>
    <w:semiHidden/>
    <w:rPr>
      <w:rFonts w:ascii="Tahoma" w:hAnsi="Tahoma" w:cs="Tahoma"/>
      <w:sz w:val="16"/>
      <w:szCs w:val="16"/>
    </w:rPr>
  </w:style>
  <w:style w:type="character" w:styleId="934" w:customStyle="1">
    <w:name w:val="Нижний колонтитул Знак"/>
    <w:basedOn w:val="758"/>
    <w:link w:val="782"/>
  </w:style>
  <w:style w:type="table" w:styleId="935" w:customStyle="1">
    <w:name w:val="Сетка таблицы1"/>
    <w:basedOn w:val="759"/>
    <w:next w:val="786"/>
    <w:uiPriority w:val="59"/>
    <w:rPr>
      <w:rFonts w:hAnsi="Calibri"/>
      <w:lang w:eastAsia="en-US"/>
    </w:rPr>
    <w:tblPr/>
  </w:style>
  <w:style w:type="paragraph" w:styleId="936">
    <w:name w:val="Revision"/>
    <w:hidden/>
    <w:uiPriority w:val="99"/>
    <w:semiHidden/>
    <w:rPr>
      <w:lang w:eastAsia="ru-RU"/>
    </w:rPr>
  </w:style>
  <w:style w:type="character" w:styleId="937" w:customStyle="1">
    <w:name w:val="Верхний колонтитул Знак"/>
    <w:link w:val="780"/>
    <w:uiPriority w:val="99"/>
    <w:rPr>
      <w:sz w:val="28"/>
    </w:rPr>
  </w:style>
  <w:style w:type="character" w:styleId="938" w:customStyle="1">
    <w:name w:val="Основной текст (2)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939" w:customStyle="1">
    <w:name w:val="Основной текст (2)_"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940">
    <w:name w:val="annotation reference"/>
    <w:rPr>
      <w:sz w:val="16"/>
      <w:szCs w:val="16"/>
    </w:rPr>
  </w:style>
  <w:style w:type="paragraph" w:styleId="941">
    <w:name w:val="annotation text"/>
    <w:basedOn w:val="748"/>
    <w:link w:val="942"/>
  </w:style>
  <w:style w:type="character" w:styleId="942" w:customStyle="1">
    <w:name w:val="Текст примечания Знак"/>
    <w:basedOn w:val="758"/>
    <w:link w:val="941"/>
  </w:style>
  <w:style w:type="paragraph" w:styleId="943">
    <w:name w:val="annotation subject"/>
    <w:basedOn w:val="941"/>
    <w:next w:val="941"/>
    <w:link w:val="944"/>
    <w:rPr>
      <w:b/>
      <w:bCs/>
    </w:rPr>
  </w:style>
  <w:style w:type="character" w:styleId="944" w:customStyle="1">
    <w:name w:val="Тема примечания Знак"/>
    <w:link w:val="943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hyperlink" Target="https://mail.yandex.ru/?from=vbff&amp;uid=1413397699" TargetMode="External"/><Relationship Id="rId13" Type="http://schemas.onlyoffice.com/commentsDocument" Target="commentsDocument.xml" /><Relationship Id="rId14" Type="http://schemas.onlyoffice.com/commentsExtendedDocument" Target="commentsExtendedDocument.xml" /><Relationship Id="rId15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************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</dc:creator>
  <cp:revision>8</cp:revision>
  <dcterms:created xsi:type="dcterms:W3CDTF">2024-07-01T04:58:00Z</dcterms:created>
  <dcterms:modified xsi:type="dcterms:W3CDTF">2025-01-29T02:54:07Z</dcterms:modified>
  <cp:version>1048576</cp:version>
</cp:coreProperties>
</file>