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highlight w:val="white"/>
        </w:rPr>
      </w:r>
      <w:bookmarkStart w:id="0" w:name="P34"/>
      <w:r>
        <w:rPr>
          <w:highlight w:val="white"/>
        </w:rPr>
      </w:r>
      <w:bookmarkEnd w:id="0"/>
      <w:r>
        <w:rPr>
          <w:b/>
          <w:sz w:val="28"/>
          <w:szCs w:val="28"/>
          <w:highlight w:val="white"/>
        </w:rPr>
        <w:t xml:space="preserve">ПОЛОЖЕНИЕ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трудовом соревновании в агропромы</w:t>
      </w:r>
      <w:r>
        <w:rPr>
          <w:b/>
          <w:sz w:val="28"/>
          <w:szCs w:val="28"/>
          <w:highlight w:val="white"/>
        </w:rPr>
        <w:t xml:space="preserve">шленном комплексе Новосибирской </w:t>
      </w:r>
      <w:r>
        <w:rPr>
          <w:b/>
          <w:sz w:val="28"/>
          <w:szCs w:val="28"/>
          <w:highlight w:val="white"/>
        </w:rPr>
        <w:t xml:space="preserve">области в 2025 году между муници</w:t>
      </w:r>
      <w:r>
        <w:rPr>
          <w:b/>
          <w:sz w:val="28"/>
          <w:szCs w:val="28"/>
          <w:highlight w:val="white"/>
        </w:rPr>
        <w:t xml:space="preserve">пальными районами, муниципальными округами Новосибирской </w:t>
      </w:r>
      <w:r>
        <w:rPr>
          <w:b/>
          <w:sz w:val="28"/>
          <w:szCs w:val="28"/>
          <w:highlight w:val="white"/>
        </w:rPr>
        <w:t xml:space="preserve">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</w:t>
      </w:r>
      <w:r>
        <w:rPr>
          <w:b/>
          <w:sz w:val="28"/>
          <w:szCs w:val="28"/>
          <w:highlight w:val="white"/>
        </w:rPr>
        <w:t xml:space="preserve">и (или)</w:t>
      </w:r>
      <w:r>
        <w:rPr>
          <w:b/>
          <w:sz w:val="28"/>
          <w:szCs w:val="28"/>
          <w:highlight w:val="white"/>
        </w:rPr>
        <w:t xml:space="preserve">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I. Общие поло</w:t>
      </w:r>
      <w:bookmarkStart w:id="1" w:name="_GoBack"/>
      <w:r>
        <w:rPr>
          <w:highlight w:val="white"/>
        </w:rPr>
      </w:r>
      <w:bookmarkEnd w:id="1"/>
      <w:r>
        <w:rPr>
          <w:b/>
          <w:sz w:val="28"/>
          <w:szCs w:val="28"/>
          <w:highlight w:val="white"/>
        </w:rPr>
        <w:t xml:space="preserve">жения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Настоящее Положение определяет порядок проведения трудового соревнования в агропромышленном комплексе Новосибирской области в 2025 году (далее – соревнование) по достижению высоких производственных показателей работы между: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муниципальными районами, муниципальными округами Новосибирской области, сельскохозяйственными</w:t>
      </w:r>
      <w:r>
        <w:rPr>
          <w:sz w:val="28"/>
          <w:szCs w:val="28"/>
          <w:highlight w:val="white"/>
        </w:rPr>
        <w:t xml:space="preserve">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организациями агропромышленного комплекса, индивидуальными предпринимателями, осуществляющими производство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переработку сельскохозяйственной продукции, хранение, складирование зерна (далее – участники соревнования).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Целью проведения соревнования является стимулирование достижения высоких производственно-экономических показателей работы.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Соревнование проводится между: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муниципальными районами, </w:t>
      </w:r>
      <w:r>
        <w:rPr>
          <w:spacing w:val="-2"/>
          <w:sz w:val="28"/>
          <w:szCs w:val="28"/>
          <w:highlight w:val="white"/>
        </w:rPr>
        <w:t xml:space="preserve">муниципальными округами</w:t>
      </w:r>
      <w:r>
        <w:rPr>
          <w:sz w:val="28"/>
          <w:szCs w:val="28"/>
          <w:highlight w:val="white"/>
        </w:rPr>
        <w:t xml:space="preserve"> Новосибирской области (далее – муниципальный район</w:t>
      </w:r>
      <w:r>
        <w:rPr>
          <w:spacing w:val="-2"/>
          <w:sz w:val="28"/>
          <w:szCs w:val="28"/>
          <w:highlight w:val="white"/>
        </w:rPr>
        <w:t xml:space="preserve">, муниципальный округ</w:t>
      </w:r>
      <w:r>
        <w:rPr>
          <w:sz w:val="28"/>
          <w:szCs w:val="28"/>
          <w:highlight w:val="white"/>
        </w:rPr>
        <w:t xml:space="preserve">) по трем природно-климатическим зонам Новосибирской области: Кулундинской, Барабинской, Центрально-Восточной;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2" w:name="P57"/>
      <w:r>
        <w:rPr>
          <w:highlight w:val="white"/>
        </w:rPr>
      </w:r>
      <w:bookmarkEnd w:id="2"/>
      <w:r>
        <w:rPr>
          <w:spacing w:val="-4"/>
          <w:sz w:val="28"/>
          <w:szCs w:val="28"/>
          <w:highlight w:val="white"/>
        </w:rPr>
        <w:t xml:space="preserve">2) сельскохозяйственными орг</w:t>
      </w:r>
      <w:r>
        <w:rPr>
          <w:spacing w:val="-4"/>
          <w:sz w:val="28"/>
          <w:szCs w:val="28"/>
          <w:highlight w:val="white"/>
        </w:rPr>
        <w:t xml:space="preserve">анизациями, имеющими выручку от </w:t>
      </w:r>
      <w:r>
        <w:rPr>
          <w:spacing w:val="-4"/>
          <w:sz w:val="28"/>
          <w:szCs w:val="28"/>
          <w:highlight w:val="white"/>
        </w:rPr>
        <w:t xml:space="preserve">реализации</w:t>
      </w:r>
      <w:r>
        <w:rPr>
          <w:sz w:val="28"/>
          <w:szCs w:val="28"/>
          <w:highlight w:val="white"/>
        </w:rPr>
        <w:t xml:space="preserve"> продукции, товаров, работ и услуг за 9 месяцев тек</w:t>
      </w:r>
      <w:r>
        <w:rPr>
          <w:sz w:val="28"/>
          <w:szCs w:val="28"/>
          <w:highlight w:val="white"/>
        </w:rPr>
        <w:t xml:space="preserve">ущего года до 1 млрд рублей, по </w:t>
      </w:r>
      <w:r>
        <w:rPr>
          <w:sz w:val="28"/>
          <w:szCs w:val="28"/>
          <w:highlight w:val="white"/>
        </w:rPr>
        <w:t xml:space="preserve">трем природно-климатическим зонам Новосибирской области: Кулундинской, Барабинской, Центрально-Восточной;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3) сельскохозяйственными орг</w:t>
      </w:r>
      <w:r>
        <w:rPr>
          <w:spacing w:val="-4"/>
          <w:sz w:val="28"/>
          <w:szCs w:val="28"/>
          <w:highlight w:val="white"/>
        </w:rPr>
        <w:t xml:space="preserve">анизациями, имеющими выручку от </w:t>
      </w:r>
      <w:r>
        <w:rPr>
          <w:spacing w:val="-4"/>
          <w:sz w:val="28"/>
          <w:szCs w:val="28"/>
          <w:highlight w:val="white"/>
        </w:rPr>
        <w:t xml:space="preserve">реализации</w:t>
      </w:r>
      <w:r>
        <w:rPr>
          <w:sz w:val="28"/>
          <w:szCs w:val="28"/>
          <w:highlight w:val="white"/>
        </w:rPr>
        <w:t xml:space="preserve"> продукции, товаров, работ и усл</w:t>
      </w:r>
      <w:r>
        <w:rPr>
          <w:sz w:val="28"/>
          <w:szCs w:val="28"/>
          <w:highlight w:val="white"/>
        </w:rPr>
        <w:t xml:space="preserve">уг за 9 месяцев текущего года 1 млрд рублей и </w:t>
      </w:r>
      <w:r>
        <w:rPr>
          <w:sz w:val="28"/>
          <w:szCs w:val="28"/>
          <w:highlight w:val="white"/>
        </w:rPr>
        <w:t xml:space="preserve">выше;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3" w:name="P58"/>
      <w:r>
        <w:rPr>
          <w:highlight w:val="white"/>
        </w:rPr>
      </w:r>
      <w:bookmarkEnd w:id="3"/>
      <w:r>
        <w:rPr>
          <w:sz w:val="28"/>
          <w:szCs w:val="28"/>
          <w:highlight w:val="white"/>
        </w:rPr>
        <w:t xml:space="preserve">4) крестьянскими (фермерскими) хозяйствами и индивидуальными предпринимателями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при условии производства продукции растениеводства или животноводства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по трем природно-климатическим зонам Новосибирской области: Кулундинской, Барабинской, Центрально-Восточной;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профессиональными образовательными организациями, занятыми на уборке урожая зерновых и зернобобовых культур;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4" w:name="P62"/>
      <w:r>
        <w:rPr>
          <w:highlight w:val="white"/>
        </w:rPr>
      </w:r>
      <w:bookmarkEnd w:id="4"/>
      <w:r>
        <w:rPr>
          <w:sz w:val="28"/>
          <w:szCs w:val="28"/>
          <w:highlight w:val="white"/>
        </w:rPr>
        <w:t xml:space="preserve">6) организациями агропромышленного комплекса, индивидуальными предпринимателями, осуществляющими производство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переработку сельскохозяйственной продукции, хранение, складирование зерна.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Крестьянские (фермерские) хозяйства и индивидуальные предприниматели, имеющие посевную площадь более 2500 гектаров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поголовье сельскохозяйственных животных и птицы свыше </w:t>
      </w:r>
      <w:r>
        <w:rPr>
          <w:sz w:val="28"/>
          <w:szCs w:val="28"/>
          <w:highlight w:val="white"/>
        </w:rPr>
        <w:t xml:space="preserve">500 условных голов, участвуют в </w:t>
      </w:r>
      <w:r>
        <w:rPr>
          <w:sz w:val="28"/>
          <w:szCs w:val="28"/>
          <w:highlight w:val="white"/>
        </w:rPr>
        <w:t xml:space="preserve">соревновании между сельскохозяйственными организациями.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5" w:name="P64"/>
      <w:r>
        <w:rPr>
          <w:highlight w:val="white"/>
        </w:rPr>
      </w:r>
      <w:bookmarkEnd w:id="5"/>
      <w:r>
        <w:rPr>
          <w:sz w:val="28"/>
          <w:szCs w:val="28"/>
          <w:highlight w:val="white"/>
        </w:rPr>
        <w:t xml:space="preserve">4. Дата подведения итогов соревнования определяется министерством сельского хозяйства Новосибирской области (далее – Министерство). Итоги соревнования подводятся не позднее 13 ноября текущего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Объявление о проведении соревнования размещается на официальном сайте Министерства в информационно-телекоммуникационной сети «Интернет» (www.mcx.nso.ru) не позднее </w:t>
      </w:r>
      <w:r>
        <w:rPr>
          <w:sz w:val="28"/>
          <w:szCs w:val="28"/>
          <w:highlight w:val="white"/>
        </w:rPr>
        <w:t xml:space="preserve">10 июл</w:t>
      </w:r>
      <w:r>
        <w:rPr>
          <w:sz w:val="28"/>
          <w:szCs w:val="28"/>
          <w:highlight w:val="white"/>
        </w:rPr>
        <w:t xml:space="preserve">я текущего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Документы для участия в соревновании представляются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6" w:name="P66"/>
      <w:r>
        <w:rPr>
          <w:highlight w:val="white"/>
        </w:rPr>
      </w:r>
      <w:bookmarkEnd w:id="6"/>
      <w:r>
        <w:rPr>
          <w:sz w:val="28"/>
          <w:szCs w:val="28"/>
          <w:highlight w:val="white"/>
        </w:rPr>
        <w:t xml:space="preserve">7. Документы, представляемые для участия в соревновании, принимаются Министерством с 1 по 31 октября текущего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highlight w:val="white"/>
        </w:rPr>
      </w:r>
      <w:bookmarkStart w:id="7" w:name="P69"/>
      <w:r>
        <w:rPr>
          <w:highlight w:val="white"/>
        </w:rPr>
      </w:r>
      <w:bookmarkEnd w:id="7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II. Условия участия в соревновании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 Участники соревнования в срок, определенный пунктом 7 настоящего Положения, представляют в Министерство: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заявку на участие в подведении итогов соревнования в 2025 году (далее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– заявка) по форме согласно приложению </w:t>
      </w:r>
      <w:r>
        <w:rPr>
          <w:sz w:val="28"/>
          <w:szCs w:val="28"/>
          <w:highlight w:val="white"/>
        </w:rPr>
        <w:t xml:space="preserve">№ 1 к настоящему Положению;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согласие на обработку персональных данных лиц, подписавших и представивших заявки в Министерство, по форме согласно приложению № 2 к настоящему Положению;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сведения о производственных, экономических показателях деятельности участника соревнования по формам согласно приложению № 3 к настоящему Положению (далее – формы показателей), представляемые на основании данных бухгалтерского учета участника соревнования;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заверенную в установленном законодательством порядке копию коллективного договора (представляется сельскохозяйственными организациями).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Заявка и формы показателей подписываются: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имени муниципального района</w:t>
      </w:r>
      <w:r>
        <w:rPr>
          <w:spacing w:val="-2"/>
          <w:sz w:val="28"/>
          <w:szCs w:val="28"/>
          <w:highlight w:val="white"/>
        </w:rPr>
        <w:t xml:space="preserve">, муниципального округа</w:t>
      </w:r>
      <w:r>
        <w:rPr>
          <w:sz w:val="28"/>
          <w:szCs w:val="28"/>
          <w:highlight w:val="white"/>
        </w:rPr>
        <w:t xml:space="preserve"> – главой муниципального района, </w:t>
      </w:r>
      <w:r>
        <w:rPr>
          <w:spacing w:val="-2"/>
          <w:sz w:val="28"/>
          <w:szCs w:val="28"/>
          <w:highlight w:val="white"/>
        </w:rPr>
        <w:t xml:space="preserve">муниципального округа,</w:t>
      </w:r>
      <w:r>
        <w:rPr>
          <w:sz w:val="28"/>
          <w:szCs w:val="28"/>
          <w:highlight w:val="white"/>
        </w:rPr>
        <w:t xml:space="preserve"> лицом, возглавляющим управление сельского хозяйства (отдел) в составе администрации </w:t>
      </w:r>
      <w:r>
        <w:rPr>
          <w:sz w:val="28"/>
          <w:szCs w:val="28"/>
          <w:highlight w:val="white"/>
        </w:rPr>
        <w:t xml:space="preserve">му</w:t>
      </w:r>
      <w:r>
        <w:rPr>
          <w:sz w:val="28"/>
          <w:szCs w:val="28"/>
          <w:highlight w:val="white"/>
        </w:rPr>
        <w:t xml:space="preserve">ниципального района</w:t>
      </w:r>
      <w:r>
        <w:rPr>
          <w:spacing w:val="-2"/>
          <w:sz w:val="28"/>
          <w:szCs w:val="28"/>
          <w:highlight w:val="white"/>
        </w:rPr>
        <w:t xml:space="preserve">, муниципального округа</w:t>
      </w:r>
      <w:r>
        <w:rPr>
          <w:sz w:val="28"/>
          <w:szCs w:val="28"/>
          <w:highlight w:val="white"/>
        </w:rPr>
        <w:t xml:space="preserve">, председателем районного комитета профсоюза работников агропромышленного комплекса муниципального района (в случае действующего районного комитета профсоюза работников агропромышленного комплекса в соответствующем муниципальном районе,</w:t>
      </w:r>
      <w:r>
        <w:rPr>
          <w:spacing w:val="-2"/>
          <w:sz w:val="28"/>
          <w:szCs w:val="28"/>
          <w:highlight w:val="white"/>
        </w:rPr>
        <w:t xml:space="preserve"> муниципальном округе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7"/>
        <w:ind w:firstLine="709"/>
        <w:jc w:val="both"/>
        <w:shd w:val="clear" w:color="auto" w:fill="ffffff" w:themeFill="background1"/>
        <w:widowControl/>
        <w:rPr>
          <w:szCs w:val="28"/>
          <w:highlight w:val="white"/>
        </w:rPr>
      </w:pPr>
      <w:r>
        <w:rPr>
          <w:szCs w:val="28"/>
          <w:highlight w:val="white"/>
        </w:rPr>
        <w:t xml:space="preserve">от имени сельскохозяйственной организации – руководителем сельскохозяйственной организации либо его представителем по доверенности;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67"/>
        <w:ind w:firstLine="709"/>
        <w:jc w:val="both"/>
        <w:shd w:val="clear" w:color="auto" w:fill="ffffff" w:themeFill="background1"/>
        <w:widowControl/>
        <w:rPr>
          <w:szCs w:val="28"/>
          <w:highlight w:val="white"/>
        </w:rPr>
      </w:pPr>
      <w:r>
        <w:rPr>
          <w:szCs w:val="28"/>
          <w:highlight w:val="white"/>
        </w:rPr>
        <w:t xml:space="preserve">от имени крестьянского (фермерского) хозяйства и индивидуального предпринимателя – главой крестьянского (фермерского) хозяйства, индивидуальным предпринимателем либо его представителем по доверенности;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67"/>
        <w:ind w:firstLine="709"/>
        <w:jc w:val="both"/>
        <w:shd w:val="clear" w:color="auto" w:fill="ffffff" w:themeFill="background1"/>
        <w:widowControl/>
        <w:rPr>
          <w:szCs w:val="28"/>
          <w:highlight w:val="white"/>
        </w:rPr>
      </w:pPr>
      <w:r>
        <w:rPr>
          <w:szCs w:val="28"/>
          <w:highlight w:val="white"/>
        </w:rPr>
        <w:t xml:space="preserve">от имени профессиональной образовательной организации – руководителем указанной организации либо его представителем по доверенности;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67"/>
        <w:ind w:firstLine="709"/>
        <w:jc w:val="both"/>
        <w:shd w:val="clear" w:color="auto" w:fill="ffffff" w:themeFill="background1"/>
        <w:widowControl/>
        <w:rPr>
          <w:szCs w:val="28"/>
          <w:highlight w:val="white"/>
        </w:rPr>
      </w:pPr>
      <w:r>
        <w:rPr>
          <w:szCs w:val="28"/>
          <w:highlight w:val="white"/>
        </w:rPr>
        <w:t xml:space="preserve">от имени организации агропромышленного комплекса, осуществляющей производство </w:t>
      </w:r>
      <w:r>
        <w:rPr>
          <w:szCs w:val="28"/>
          <w:highlight w:val="white"/>
        </w:rPr>
        <w:t xml:space="preserve">и (или)</w:t>
      </w:r>
      <w:r>
        <w:rPr>
          <w:szCs w:val="28"/>
          <w:highlight w:val="white"/>
        </w:rPr>
        <w:t xml:space="preserve"> переработку сельскохозяйственной продукции Новосибирской области, хранение, складирование зерна, – руководителем указанной организации либо его представителем по доверенности.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 Для участия в соревновании заполняются и представляются следующие формы показателей согласно приложению № 3 к настоящему Положению: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муниципальным районом</w:t>
      </w:r>
      <w:r>
        <w:rPr>
          <w:spacing w:val="-2"/>
          <w:sz w:val="28"/>
          <w:szCs w:val="28"/>
          <w:highlight w:val="white"/>
        </w:rPr>
        <w:t xml:space="preserve">, муниципальным округом</w:t>
      </w:r>
      <w:r>
        <w:rPr>
          <w:sz w:val="28"/>
          <w:szCs w:val="28"/>
          <w:highlight w:val="white"/>
        </w:rPr>
        <w:t xml:space="preserve"> – таблицы 1, 2, 5;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сельскохозяйственной организацией, имеющей выручку от реализации продукции, товаров, работ и услуг за 9 месяцев текущего года до 1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млрд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рублей,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– таблицы 1, 3, 5, 10, 11;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сельскохозяйственной организацией, имеющей выручку от реализации продукции, товаров, работ и услуг за 9 месяцев текущего года 1</w:t>
      </w:r>
      <w:r>
        <w:rPr>
          <w:sz w:val="28"/>
          <w:szCs w:val="28"/>
          <w:highlight w:val="white"/>
        </w:rPr>
        <w:t xml:space="preserve"> млрд рублей и </w:t>
      </w:r>
      <w:r>
        <w:rPr>
          <w:sz w:val="28"/>
          <w:szCs w:val="28"/>
          <w:highlight w:val="white"/>
        </w:rPr>
        <w:t xml:space="preserve">выше, – таблицы 6, 10, 11;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крестьянским (фермерским) хозяйством и индивидуальным предпринимателем, осуществляющим производство продукции растениеводства или животноводства, – таблицы 1, 4, 7, 11;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организацией агропромышленного комплекса, индивидуальным предпринимателем, осуществляющими производство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переработку сельскохозяйственной продукции, хранение, складирование зерна, – таблица 8;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Style w:val="866"/>
          <w:color w:val="auto"/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</w:rPr>
        <w:t xml:space="preserve">профессиональной образовательной организацией – таблица 9</w:t>
      </w:r>
      <w:r>
        <w:rPr>
          <w:rStyle w:val="866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Style w:val="866"/>
          <w:color w:val="auto"/>
          <w:sz w:val="28"/>
          <w:szCs w:val="28"/>
          <w:highlight w:val="white"/>
          <w:u w:val="none"/>
        </w:rPr>
      </w:r>
      <w:r>
        <w:rPr>
          <w:rStyle w:val="866"/>
          <w:color w:val="auto"/>
          <w:sz w:val="28"/>
          <w:szCs w:val="28"/>
          <w:highlight w:val="white"/>
          <w:u w:val="non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Таблицы 1, 9 утверждаются руководителем органа управления АПК администрации соответствующего муниципального района, муниципального округа.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введения на территории Новосибирской области или отдельных муниципальных </w:t>
      </w:r>
      <w:r>
        <w:rPr>
          <w:sz w:val="28"/>
          <w:szCs w:val="28"/>
          <w:highlight w:val="white"/>
        </w:rPr>
        <w:t xml:space="preserve">районов, муниципальных </w:t>
      </w:r>
      <w:r>
        <w:rPr>
          <w:sz w:val="28"/>
          <w:szCs w:val="28"/>
          <w:highlight w:val="white"/>
        </w:rPr>
        <w:t xml:space="preserve">округов режима чрезвычайной ситуации регионального уровня, и при этом в случае наличия у участника соревнования площадей посевов данных культ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р, на которых данные посевы полностью или частично признаны погибшими, для подтверждения размера Актированной площади зерновых, зернобобовых и технических культур к Таблице 1 прилагается оригинал или надлежаще заверенная копия Акта (-ов) обследования посев</w:t>
      </w:r>
      <w:r>
        <w:rPr>
          <w:sz w:val="28"/>
          <w:szCs w:val="28"/>
          <w:highlight w:val="white"/>
        </w:rPr>
        <w:t xml:space="preserve">ов и посадок сельскохозяйственных культур, урожая многолетних насаждений, пострадавших в результате чрезвычайной ситуации природного характера (далее – Акт обследования пострадавших посевов), сформированного в соответствии с действующим законодательством.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Участники соревнования на дату подачи заявки должны соответствовать следующим требованиям: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участник соревнования не является иностранным юридическим лицом,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том числе место</w:t>
      </w:r>
      <w:r>
        <w:rPr>
          <w:sz w:val="28"/>
          <w:szCs w:val="28"/>
          <w:highlight w:val="white"/>
        </w:rP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>
        <w:rPr>
          <w:sz w:val="28"/>
          <w:szCs w:val="28"/>
          <w:highlight w:val="white"/>
        </w:rPr>
        <w:t xml:space="preserve">шает 25 процентов (если иное не </w:t>
      </w:r>
      <w:r>
        <w:rPr>
          <w:sz w:val="28"/>
          <w:szCs w:val="28"/>
          <w:highlight w:val="white"/>
        </w:rPr>
        <w:t xml:space="preserve">предусмотрено законодательством Российской Федерации). При расчете доли участия офшорных компаний в капитал</w:t>
      </w:r>
      <w:r>
        <w:rPr>
          <w:sz w:val="28"/>
          <w:szCs w:val="28"/>
          <w:highlight w:val="white"/>
        </w:rPr>
        <w:t xml:space="preserve">е российских юридических лиц не </w:t>
      </w:r>
      <w:r>
        <w:rPr>
          <w:sz w:val="28"/>
          <w:szCs w:val="28"/>
          <w:highlight w:val="white"/>
        </w:rPr>
        <w:t xml:space="preserve">учитывается прямое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косвенное участие офшорных компаний в капитале публичных акционерных обществ (в том числе со статусом международной </w:t>
      </w:r>
      <w:r>
        <w:rPr>
          <w:sz w:val="28"/>
          <w:szCs w:val="28"/>
          <w:highlight w:val="white"/>
        </w:rPr>
        <w:t xml:space="preserve">комп</w:t>
      </w:r>
      <w:r>
        <w:rPr>
          <w:sz w:val="28"/>
          <w:szCs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участник соревнования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участник соревнования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участник соревнования не является иност</w:t>
      </w:r>
      <w:r>
        <w:rPr>
          <w:sz w:val="28"/>
          <w:szCs w:val="28"/>
          <w:highlight w:val="white"/>
        </w:rPr>
        <w:t xml:space="preserve">ранным агентом в соответствии с </w:t>
      </w:r>
      <w:r>
        <w:rPr>
          <w:sz w:val="28"/>
          <w:szCs w:val="28"/>
          <w:highlight w:val="white"/>
        </w:rPr>
        <w:t xml:space="preserve">Федеральным законом от 14.07.2022 № 255-ФЗ «О контроле за деятельностью лиц, находящихся под иностранным влиянием».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 Основаниями для отклонения заявки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наличие у участника соревнования: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несчастных случаев на производстве, подтвержденных в установленном законодательством Российской Федерации порядке, в текущем году до момента окончания срока приема документов, представляемых для участия в соревновании (за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исключением муниципальных районов,</w:t>
      </w:r>
      <w:r>
        <w:rPr>
          <w:spacing w:val="-2"/>
          <w:sz w:val="28"/>
          <w:szCs w:val="28"/>
          <w:highlight w:val="white"/>
        </w:rPr>
        <w:t xml:space="preserve"> муниципальных округов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едином налоговом счете задолженно</w:t>
      </w:r>
      <w:r>
        <w:rPr>
          <w:sz w:val="28"/>
          <w:szCs w:val="28"/>
          <w:highlight w:val="white"/>
        </w:rPr>
        <w:t xml:space="preserve">сти по уплате налогов, сборов и </w:t>
      </w:r>
      <w:r>
        <w:rPr>
          <w:sz w:val="28"/>
          <w:szCs w:val="28"/>
          <w:highlight w:val="white"/>
        </w:rPr>
        <w:t xml:space="preserve">страховых взносов в бюджеты бюджетной </w:t>
      </w:r>
      <w:r>
        <w:rPr>
          <w:sz w:val="28"/>
          <w:szCs w:val="28"/>
          <w:highlight w:val="white"/>
        </w:rPr>
        <w:t xml:space="preserve">системы Российской Федерации на </w:t>
      </w:r>
      <w:r>
        <w:rPr>
          <w:sz w:val="28"/>
          <w:szCs w:val="28"/>
          <w:highlight w:val="white"/>
        </w:rPr>
        <w:t xml:space="preserve">дату формирования справки, но не ранее даты подачи заявки;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просроченной задолженности по выплате заработной платы на 1 октября текущего года;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среднемесячной заработной платы на 1 октября текущего года ниже минимального размера оплаты труда, установленного Федеральным законом от 19.06.2000 № 82-ФЗ «О минимальном размере оплаты труда»;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</w:t>
      </w:r>
      <w:r>
        <w:rPr>
          <w:sz w:val="28"/>
          <w:szCs w:val="28"/>
          <w:highlight w:val="white"/>
        </w:rPr>
        <w:t xml:space="preserve">на дату подачи заявки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нахождение юридического лица в процессе реорганизации, ликвидации, банкротства, прекращение индивидуальным </w:t>
      </w:r>
      <w:r>
        <w:rPr>
          <w:sz w:val="28"/>
          <w:szCs w:val="28"/>
          <w:highlight w:val="white"/>
        </w:rPr>
        <w:t xml:space="preserve">предпринимателем деятельности в </w:t>
      </w:r>
      <w:r>
        <w:rPr>
          <w:sz w:val="28"/>
          <w:szCs w:val="28"/>
          <w:highlight w:val="white"/>
        </w:rPr>
        <w:t xml:space="preserve">качестве индивидуального предпринимателя на дату подачи заявки;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случаев возникновения опасных и особо опасных болезней сельскохозяйственных животных в текущем году до момента окончания срока приема документов, представляемых для участия в соревновании;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отсутствие у сельскохозяйственной организации действующего коллективного договора;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неисполнение участником в текущем году планов по: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яровому севу;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засыпке семенного материала под урожай будущего года в полном объеме;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подготовке земли к яровому севу будущего года (вспашка зяби);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обработке пара;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гербицидной обработке;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проведение посева яровых зерновых, зернобобовых и технических культур некондиционными семенами либо кондиционными в неполном объеме (за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исключением </w:t>
      </w:r>
      <w:r>
        <w:rPr>
          <w:sz w:val="28"/>
          <w:szCs w:val="28"/>
          <w:highlight w:val="white"/>
        </w:rPr>
        <w:t xml:space="preserve">муниципальных районов,</w:t>
      </w:r>
      <w:r>
        <w:rPr>
          <w:spacing w:val="-2"/>
          <w:sz w:val="28"/>
          <w:szCs w:val="28"/>
          <w:highlight w:val="white"/>
        </w:rPr>
        <w:t xml:space="preserve"> муниципальных округов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в текуще</w:t>
      </w:r>
      <w:r>
        <w:rPr>
          <w:sz w:val="28"/>
          <w:szCs w:val="28"/>
          <w:highlight w:val="white"/>
        </w:rPr>
        <w:t xml:space="preserve">м году;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неполное завершение уборки зерновых, зер</w:t>
      </w:r>
      <w:r>
        <w:rPr>
          <w:sz w:val="28"/>
          <w:szCs w:val="28"/>
          <w:highlight w:val="white"/>
        </w:rPr>
        <w:t xml:space="preserve">нобобовых и технических культур</w:t>
      </w:r>
      <w:r>
        <w:rPr>
          <w:sz w:val="28"/>
          <w:szCs w:val="28"/>
          <w:highlight w:val="white"/>
        </w:rPr>
        <w:t xml:space="preserve"> в текущем году по состоянию на 25 октября;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олное завершение уборки зерновых, зернобобовых и технических культур — это совокупность работ на завершающей стадии земледелия. Он включает сбор урожая со всей Посевной площади зерновых, зернобобовых и технических культур (за исключением случая, указанного</w:t>
      </w:r>
      <w:r>
        <w:rPr>
          <w:sz w:val="28"/>
          <w:szCs w:val="28"/>
          <w:highlight w:val="white"/>
        </w:rPr>
        <w:t xml:space="preserve"> в абзаце третьем настоящего подпункта), его доставку к месту послеуборочной обработки, саму послеуборочную обработку, транспортировку готовой продукции на склады (или для реализации), закладку на хранение.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введения на территории Новосибирской области или отдельных </w:t>
      </w:r>
      <w:r>
        <w:rPr>
          <w:sz w:val="28"/>
          <w:szCs w:val="28"/>
          <w:highlight w:val="white"/>
        </w:rPr>
        <w:t xml:space="preserve">муниципальных районов,</w:t>
      </w:r>
      <w:r>
        <w:rPr>
          <w:spacing w:val="-2"/>
          <w:sz w:val="28"/>
          <w:szCs w:val="28"/>
          <w:highlight w:val="white"/>
        </w:rPr>
        <w:t xml:space="preserve"> муниципальных округов</w:t>
      </w:r>
      <w:r>
        <w:rPr>
          <w:sz w:val="28"/>
          <w:szCs w:val="28"/>
          <w:highlight w:val="white"/>
        </w:rPr>
        <w:t xml:space="preserve"> режима чрезвычайной ситуации регионального уровня, к зачету показателя по завершению участником соревнования уборки зерновых, зернобо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овых и технических культур и последующим расчетам показателей урожайности зерновых, зернобобовых и технических культур принимается Площадь зерновых, зернобобовых и технических культур, подлежащая уборке после актирования, которая рассчитывается исходя из 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змеров Посевной площади зерновых, зернобобовых и технических культур за исключением Актированной площади зерновых, зернобобовых и технических культур, которая рассчитывается исходя из суммарных размеров площадей посевов зерновых, зернобобовых и технических</w:t>
      </w:r>
      <w:r>
        <w:rPr>
          <w:sz w:val="28"/>
          <w:szCs w:val="28"/>
          <w:highlight w:val="white"/>
        </w:rPr>
        <w:t xml:space="preserve"> культур, на которых данные посевы признаны погибшими, что зафиксировано Актом обследования пострадавших посевов.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введения на территории Новосибирской области или отдельных </w:t>
      </w:r>
      <w:r>
        <w:rPr>
          <w:sz w:val="28"/>
          <w:szCs w:val="28"/>
          <w:highlight w:val="white"/>
        </w:rPr>
        <w:t xml:space="preserve">муниципальных районов,</w:t>
      </w:r>
      <w:r>
        <w:rPr>
          <w:spacing w:val="-2"/>
          <w:sz w:val="28"/>
          <w:szCs w:val="28"/>
          <w:highlight w:val="white"/>
        </w:rPr>
        <w:t xml:space="preserve"> муниципальных округов</w:t>
      </w:r>
      <w:r>
        <w:rPr>
          <w:sz w:val="28"/>
          <w:szCs w:val="28"/>
          <w:highlight w:val="white"/>
        </w:rPr>
        <w:t xml:space="preserve"> режима чрезвычайной ситуации регионального уровня, и при этом отсутствия у участника соревнования площадей посевов зерновых, зернобоб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вых и технических культур, на которых данные посевы полностью или частично признаны погибшими, Площадь зерновых, зернобобовых и технических культур, подлежащая уборке после актирования принимается равной Посевной площади зерновых, зернобобовых и технически</w:t>
      </w:r>
      <w:r>
        <w:rPr>
          <w:sz w:val="28"/>
          <w:szCs w:val="28"/>
          <w:highlight w:val="white"/>
        </w:rPr>
        <w:t xml:space="preserve">х культур, а Актированная площадь зерновых, зернобобовых и технических культур принимается равной нулю.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отсутствия на территории Новосибирской области или отдельных </w:t>
      </w:r>
      <w:r>
        <w:rPr>
          <w:sz w:val="28"/>
          <w:szCs w:val="28"/>
          <w:highlight w:val="white"/>
        </w:rPr>
        <w:t xml:space="preserve">муниципальных районов,</w:t>
      </w:r>
      <w:r>
        <w:rPr>
          <w:spacing w:val="-2"/>
          <w:sz w:val="28"/>
          <w:szCs w:val="28"/>
          <w:highlight w:val="white"/>
        </w:rPr>
        <w:t xml:space="preserve"> муниципальных округов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режима чрезвычайной ситуации регионального уровня, Площадь зерновых, зернобобовых и технических культур, подлежащая уборке после ак</w:t>
      </w:r>
      <w:r>
        <w:rPr>
          <w:sz w:val="28"/>
          <w:szCs w:val="28"/>
          <w:highlight w:val="white"/>
        </w:rPr>
        <w:t xml:space="preserve">тирования принимается равной Посевной площади зерновых, зернобобовых и технических культур, а Актированная площадь зерновых, зернобобовых и технических культур принимается равной нулю;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снижение участником соревнования: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маточного поголовья крупного рогатого скота мясного или молочного направлений продуктивности в текущем году;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валового производства молока или продуктивности дойного стада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текущем году;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отсутствие у участника соревнования индивидуальной программы по оздоровлению от лейкоза крупного рогатого скота, утвержденной управлением ветеринарии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 представление участником соревнования неполного пакета документов, предусмотренных настоящими условиями участия в соревновании, либо наличие в представленных документах </w:t>
      </w:r>
      <w:r>
        <w:rPr>
          <w:sz w:val="28"/>
          <w:szCs w:val="28"/>
          <w:highlight w:val="white"/>
        </w:rPr>
        <w:t xml:space="preserve">неполных и (или)</w:t>
      </w:r>
      <w:r>
        <w:rPr>
          <w:sz w:val="28"/>
          <w:szCs w:val="28"/>
          <w:highlight w:val="white"/>
        </w:rPr>
        <w:t xml:space="preserve"> недостоверных сведений;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 представление участником соревнования пакета документов с нарушением сроков, предусмотренных пунктом 7 настоящего Положения;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contextualSpacing w:val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10) отсутствие у участника соревнования регистрации в установленном законодательством порядке в качестве юридического лица или индивидуального предпринимателя в Новосибирской области </w:t>
      </w:r>
      <w:r>
        <w:rPr>
          <w:sz w:val="28"/>
          <w:szCs w:val="28"/>
          <w:highlight w:val="white"/>
        </w:rPr>
        <w:t xml:space="preserve">и осуществления деятельности на </w:t>
      </w:r>
      <w:r>
        <w:rPr>
          <w:sz w:val="28"/>
          <w:szCs w:val="28"/>
          <w:highlight w:val="white"/>
        </w:rPr>
        <w:t xml:space="preserve">территории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contextualSpacing w:val="0"/>
        <w:ind w:lef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отсутствие у участника соревнования регистрации в установленном законодательством порядке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компоненте</w:t>
      </w:r>
      <w:r>
        <w:rPr>
          <w:sz w:val="28"/>
          <w:szCs w:val="28"/>
          <w:highlight w:val="white"/>
        </w:rPr>
        <w:t xml:space="preserve"> ФГИС «</w:t>
      </w:r>
      <w:r>
        <w:rPr>
          <w:sz w:val="28"/>
          <w:szCs w:val="28"/>
          <w:highlight w:val="white"/>
        </w:rPr>
        <w:t xml:space="preserve">ВетИС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Хорриот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Сведения об отсутствии неисполненной обя</w:t>
      </w:r>
      <w:r>
        <w:rPr>
          <w:sz w:val="28"/>
          <w:szCs w:val="28"/>
          <w:highlight w:val="white"/>
        </w:rPr>
        <w:t xml:space="preserve">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в отношении участников соревнования, включенных в подпункты 2, 3, 4, 6 пункта 3 </w:t>
      </w:r>
      <w:r>
        <w:rPr>
          <w:spacing w:val="-2"/>
          <w:sz w:val="28"/>
          <w:szCs w:val="28"/>
          <w:highlight w:val="white"/>
        </w:rPr>
        <w:t xml:space="preserve">настоящего Положения, запрашиваются Министерством с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использованием системы</w:t>
      </w:r>
      <w:r>
        <w:rPr>
          <w:sz w:val="28"/>
          <w:szCs w:val="28"/>
          <w:highlight w:val="white"/>
        </w:rPr>
        <w:t xml:space="preserve"> межведомственного электронного взаимодействия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межведомственному запросу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Управлении Федеральной налоговой службы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области, Фонде пенсионного и социального страхования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С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ведения о регистрации в установленном законодательством порядке в компоненте ФГИС «ВетИС» Хорриот в отношении участников соревнования, включенных в подпункты 1, 5, 6 пункта 3 настоящего Положения запрашиваются Министерством в управлении ветеринарии Новосиб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ирской области.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Основания для отклонения заяв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ки, предусмотренные подпунктами 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3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–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7 настоящего пункта, не применяются для </w:t>
      </w:r>
      <w:r>
        <w:rPr>
          <w:sz w:val="28"/>
          <w:szCs w:val="28"/>
          <w:highlight w:val="white"/>
        </w:rPr>
        <w:t xml:space="preserve">организаций агропромышленного комплекса, индивидуальных предпринимателей, осуществляющих производство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переработку сельскохозяйственной продукции, хранение, складирование зерна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  <w:t xml:space="preserve">Основания для отклонения заявки, предусмотренные подпунктом 11 настоящего пункта, не применяются, в отношении участников соревнования, включенных в подпункты 1, 5, 6 пункта 3 настоящего Положения.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III. Порядок подведения итогов соревнования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 Министерство в срок до 13 ноября текущего года осуществляет проверку представленных участниками соревнования документов на предмет 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соответствия предъявляемым условиям участия в подведении итогов соревнования, указанным в разделе II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наличии оснований для отклонения заявки, предусмотренных пунктом 11 настоящего Положения, участник не допускается к подведению итогов соревнования. Министерство в течение 10 рабочих дней с момента принятия заявки принимает решение об отклонении заяв</w:t>
      </w:r>
      <w:r>
        <w:rPr>
          <w:sz w:val="28"/>
          <w:szCs w:val="28"/>
          <w:highlight w:val="white"/>
        </w:rPr>
        <w:t xml:space="preserve">ки и в те</w:t>
      </w:r>
      <w:r>
        <w:rPr>
          <w:sz w:val="28"/>
          <w:szCs w:val="28"/>
          <w:highlight w:val="white"/>
        </w:rPr>
        <w:t xml:space="preserve">чение четырех рабочих дней с </w:t>
      </w:r>
      <w:r>
        <w:rPr>
          <w:sz w:val="28"/>
          <w:szCs w:val="28"/>
          <w:highlight w:val="white"/>
        </w:rPr>
        <w:t xml:space="preserve">момента принятия решения об отклонении заявки направляет участнику соревнования уведомление об отклонении заявки с обосновани</w:t>
      </w:r>
      <w:r>
        <w:rPr>
          <w:sz w:val="28"/>
          <w:szCs w:val="28"/>
          <w:highlight w:val="white"/>
        </w:rPr>
        <w:t xml:space="preserve">ем причины отклонения заявки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адрес электронной почты </w:t>
      </w:r>
      <w:r>
        <w:rPr>
          <w:sz w:val="28"/>
          <w:szCs w:val="28"/>
          <w:highlight w:val="white"/>
        </w:rPr>
        <w:t xml:space="preserve">или почтовый адрес, указанный в </w:t>
      </w:r>
      <w:r>
        <w:rPr>
          <w:sz w:val="28"/>
          <w:szCs w:val="28"/>
          <w:highlight w:val="white"/>
        </w:rPr>
        <w:t xml:space="preserve">заявке, по выбору участника.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Участники соревнования, соответствующие условиям участия в соревновании, установленным в разделе II наст</w:t>
      </w:r>
      <w:r>
        <w:rPr>
          <w:sz w:val="28"/>
          <w:szCs w:val="28"/>
          <w:highlight w:val="white"/>
        </w:rPr>
        <w:t xml:space="preserve">оящего Положения, допускаются к </w:t>
      </w:r>
      <w:r>
        <w:rPr>
          <w:sz w:val="28"/>
          <w:szCs w:val="28"/>
          <w:highlight w:val="white"/>
        </w:rPr>
        <w:t xml:space="preserve">участию в подведении итогов соревнования.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 документы, представленные такими участниками, направляются на рассмотрение комиссии по подведению итогов трудового соревнования в агропромышленном комплексе Новосибирской области (далее – Комиссия).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13. Комиссия в определенный Министерством день в соответствии с пунктом 4 настоящего Положения на основании показателей и критериев оценки деятельности участников соревнования, установленных настоящим Положением, определяет победителей соревнования.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Решение Комиссии оформляется протоколом. На основании протокола Комиссии М</w:t>
      </w:r>
      <w:r>
        <w:rPr>
          <w:sz w:val="28"/>
          <w:szCs w:val="28"/>
          <w:highlight w:val="white"/>
        </w:rPr>
        <w:t xml:space="preserve">инистерство в срок не позднее 20 ноября текущего года готовит приказ Министерства о награждении победителей соревнования и представляет в установленном порядке победителей соревнования к поощрению Благодарственным письмом Губернатора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pacing w:val="-6"/>
          <w:sz w:val="28"/>
          <w:szCs w:val="28"/>
          <w:highlight w:val="white"/>
        </w:rPr>
        <w:t xml:space="preserve">15. Участники соревнования, приз</w:t>
      </w:r>
      <w:r>
        <w:rPr>
          <w:spacing w:val="-6"/>
          <w:sz w:val="28"/>
          <w:szCs w:val="28"/>
          <w:highlight w:val="white"/>
        </w:rPr>
        <w:t xml:space="preserve">нанные победителями, в течении пяти</w:t>
      </w:r>
      <w:r>
        <w:rPr>
          <w:spacing w:val="-6"/>
          <w:sz w:val="28"/>
          <w:szCs w:val="28"/>
          <w:highlight w:val="white"/>
        </w:rPr>
        <w:t xml:space="preserve"> рабочих</w:t>
      </w:r>
      <w:r>
        <w:rPr>
          <w:sz w:val="28"/>
          <w:szCs w:val="28"/>
          <w:highlight w:val="white"/>
        </w:rPr>
        <w:t xml:space="preserve"> дней </w:t>
      </w:r>
      <w:r>
        <w:rPr>
          <w:sz w:val="28"/>
          <w:szCs w:val="28"/>
          <w:highlight w:val="white"/>
          <w:lang w:val="en-US"/>
        </w:rPr>
        <w:t xml:space="preserve">c</w:t>
      </w:r>
      <w:r>
        <w:rPr>
          <w:sz w:val="28"/>
          <w:szCs w:val="28"/>
          <w:highlight w:val="white"/>
        </w:rPr>
        <w:t xml:space="preserve"> момента принятия Комиссией решения, представляют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Министерство представление к поощрению Благодарственным письмом Губернатора Новосибирской области по форме согласно приложениям № 4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5 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IV. Порядок подведения итогов соревнования между муниципальными </w:t>
      </w:r>
      <w:r>
        <w:rPr>
          <w:b/>
          <w:sz w:val="28"/>
          <w:szCs w:val="28"/>
          <w:highlight w:val="white"/>
        </w:rPr>
        <w:t xml:space="preserve">районами, муниципальными округами в природно-климатической зоне Новосибирской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8" w:name="P132"/>
      <w:r>
        <w:rPr>
          <w:highlight w:val="white"/>
        </w:rPr>
      </w:r>
      <w:bookmarkEnd w:id="8"/>
      <w:r>
        <w:rPr>
          <w:sz w:val="28"/>
          <w:szCs w:val="28"/>
          <w:highlight w:val="white"/>
        </w:rPr>
        <w:t xml:space="preserve">16. Подведение итогов и определение победителей соревнования между </w:t>
      </w:r>
      <w:r>
        <w:rPr>
          <w:sz w:val="28"/>
          <w:szCs w:val="28"/>
          <w:highlight w:val="white"/>
        </w:rPr>
        <w:t xml:space="preserve">муниципальными районами,</w:t>
      </w:r>
      <w:r>
        <w:rPr>
          <w:spacing w:val="-2"/>
          <w:sz w:val="28"/>
          <w:szCs w:val="28"/>
          <w:highlight w:val="white"/>
        </w:rPr>
        <w:t xml:space="preserve"> муниципальными округами</w:t>
      </w:r>
      <w:r>
        <w:rPr>
          <w:sz w:val="28"/>
          <w:szCs w:val="28"/>
          <w:highlight w:val="white"/>
        </w:rPr>
        <w:t xml:space="preserve"> проводится по 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растениеводстве по итогам работы в текущем году по состоянию на 25 октября: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увеличение общей площади ярового сева к уровню предыдущего года (га);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урожайность зерновых, зернобобовых и технических культур с посевной площади в весе после доработки (ц/га);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зерна зерновых, зернобобовых и технических культур в весе после доработки в расчете на 1 балло-гектар пашни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заготовка грубых и сочных кормов в текущем году на период зимовки скота на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условную голову (ц кормовых единиц);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животноводстве за период с 1 октября предыдущего года по 30 сентября текущего года: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изменение численности поголовья коров молочного и мясного направлений продуктивности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молока и валовой прирост живой массы сельскохозяйственных животных и птицы на 100 гектаров пашни текущего года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охват искусственным осеменением молочных коров и телок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товарность молока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валовое производство мяса в </w:t>
      </w:r>
      <w:r>
        <w:rPr>
          <w:sz w:val="28"/>
          <w:szCs w:val="28"/>
          <w:highlight w:val="white"/>
        </w:rPr>
        <w:t xml:space="preserve">живом весе от специализированных мясных пород и их помесей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воспроизводство стада – приплод телят на 100 коров (голов);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сохранность крупного рогатого скота к обороту стада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экономике: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 (тыс.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выручка от реализации продукц</w:t>
      </w:r>
      <w:r>
        <w:rPr>
          <w:sz w:val="28"/>
          <w:szCs w:val="28"/>
          <w:highlight w:val="white"/>
        </w:rPr>
        <w:t xml:space="preserve">ии, товаров, работ и услуг на 1 </w:t>
      </w:r>
      <w:r>
        <w:rPr>
          <w:sz w:val="28"/>
          <w:szCs w:val="28"/>
          <w:highlight w:val="white"/>
        </w:rPr>
        <w:t xml:space="preserve">среднесписочного работника за 9 месяцев текущего года (тыс.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заработная плата за 9 месяцев текущего года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среднемесячной заработной платы за 9 месяцев текущего года к 9 месяцам предыдущего года (%).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 Поб</w:t>
      </w:r>
      <w:r>
        <w:rPr>
          <w:sz w:val="28"/>
          <w:szCs w:val="28"/>
          <w:highlight w:val="white"/>
        </w:rPr>
        <w:t xml:space="preserve">едителями соревнования признаются три </w:t>
      </w:r>
      <w:r>
        <w:rPr>
          <w:sz w:val="28"/>
          <w:szCs w:val="28"/>
          <w:highlight w:val="white"/>
        </w:rPr>
        <w:t xml:space="preserve">муниципальных района,</w:t>
      </w:r>
      <w:r>
        <w:rPr>
          <w:spacing w:val="-2"/>
          <w:sz w:val="28"/>
          <w:szCs w:val="28"/>
          <w:highlight w:val="white"/>
        </w:rPr>
        <w:t xml:space="preserve"> муниципальных округа</w:t>
      </w:r>
      <w:r>
        <w:rPr>
          <w:sz w:val="28"/>
          <w:szCs w:val="28"/>
          <w:highlight w:val="white"/>
        </w:rPr>
        <w:t xml:space="preserve"> в каждой природно-климатической зоне Новосибирской области, набравшие максимальное количество баллов, которое определяется по сумме баллов показателей, определенных пунктом 16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по показателям осуществляется в соответствии 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приложением № 6 к 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18. </w:t>
      </w:r>
      <w:r>
        <w:rPr>
          <w:sz w:val="28"/>
          <w:szCs w:val="28"/>
          <w:highlight w:val="white"/>
        </w:rPr>
        <w:t xml:space="preserve">Муниципальные районы,</w:t>
      </w:r>
      <w:r>
        <w:rPr>
          <w:spacing w:val="-2"/>
          <w:sz w:val="28"/>
          <w:szCs w:val="28"/>
          <w:highlight w:val="white"/>
        </w:rPr>
        <w:t xml:space="preserve"> муниципальные округа</w:t>
      </w:r>
      <w:r>
        <w:rPr>
          <w:sz w:val="28"/>
          <w:szCs w:val="28"/>
          <w:highlight w:val="white"/>
        </w:rPr>
        <w:t xml:space="preserve">, занявшие призовые места, поощряются Благодарственным письмом Губернатора Новосибирской области и легковым автомобилем.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V. Порядок подведения итогов соревнования между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сельскохозяйственными организациями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природно-климатической зоне Новосибирской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9" w:name="P158"/>
      <w:r>
        <w:rPr>
          <w:highlight w:val="white"/>
        </w:rPr>
      </w:r>
      <w:bookmarkEnd w:id="9"/>
      <w:r>
        <w:rPr>
          <w:sz w:val="28"/>
          <w:szCs w:val="28"/>
          <w:highlight w:val="white"/>
        </w:rPr>
        <w:t xml:space="preserve">19. Подведение итогов и определение победителей соревнования среди сельскохозяйственных организаций, имеющих выручку от реализации продукции, товаров, работ и услуг за 9 месяцев текущего года до 1 млрд рублей, проводится по 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растениеводстве по итогам работы в текущем году по состоянию на 25 октября: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увеличение общей площади ярового сева к уровню предыдущего года (га);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урожайность зерновых, зернобобовых и технических культур с посевной площади в весе после доработки (ц/га);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зерна зерновых, зернобобовых и технических культур в весе после доработки в расчете на 1 балло-гектар пашни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заготовка грубых и сочных кормов в текущем </w:t>
      </w:r>
      <w:r>
        <w:rPr>
          <w:sz w:val="28"/>
          <w:szCs w:val="28"/>
          <w:highlight w:val="white"/>
        </w:rPr>
        <w:t xml:space="preserve">году на период зимовки скота на 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условную голову (ц кормовых единиц);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животноводстве за период с 1 октября предыдущего года по 30 сентября текущего года: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продуктивность скота – удой молока на 1 корову (кг), среднесуточный прирост живой массы крупного рогатого скота (г);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молока и валовой прирост живой массы сельскохозяйственных животных и птицы на 100 гектаров пашни текущего года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качество реализованного молока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уровень охвата искусственным осеменением коров и телок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воспроизводство стада – приплод телят на 100 коров (голов);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товарность молока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валовое производство мяса в живом весе от специализированных мясных пород и их помесей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изменение численности молочных коров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изменение численности мясных коров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сохранность крупного рогатого скота к обороту стада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экономике: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 (тыс.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выручка от реализации продукц</w:t>
      </w:r>
      <w:r>
        <w:rPr>
          <w:sz w:val="28"/>
          <w:szCs w:val="28"/>
          <w:highlight w:val="white"/>
        </w:rPr>
        <w:t xml:space="preserve">ии, товаров, работ и услуг на 1 </w:t>
      </w:r>
      <w:r>
        <w:rPr>
          <w:sz w:val="28"/>
          <w:szCs w:val="28"/>
          <w:highlight w:val="white"/>
        </w:rPr>
        <w:t xml:space="preserve">среднесписочного работника за 9 месяцев текущего года (тыс.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заработная плата за 9 месяцев текущего года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среднемесячной заработной платы за 9 месяцев текущего года к 9 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участие в рамках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реализации мероприятия «Подготовка квалифицированных кадров для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сельскохозяйственных товаропроизводителей, осуществляющих деятельность на сельских территориях» в рамках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льства Новосибирской области от 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31.12.2019 № 525-п (далее – государственная программа развития сельских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территорий), в текущем году по 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состоянию на 30 сентября: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количество заключенных ученических договоров и договоров о целевом обучении;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количество студентов, привлеченных для прохождения производственной практики;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5) прохождение ежегодного государственного технического осмотра эксплуатируемой самоходной техники, занятой в сельскохозяйственном производстве, по состоянию на 25 октября текущего года: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доля эксплуатируемой самоходной техники с пройденным ежегодным государственным техническим осмотром, занятой в сельскохозяйственном п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роизводстве, в общем количестве зарегистрированной в Инспекции государственного надзора за техническим состоянием самоходных машин и других видов техники Новосибирской области эксплуатируемой самоходной техники, занятой в сельскохозяйственном производстве.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20. Победителями соревнования признаются три лучшие сельскохозяйственные организации, имеющие выручку от реализации продукции, товаров, </w:t>
      </w:r>
      <w:r>
        <w:rPr>
          <w:sz w:val="28"/>
          <w:szCs w:val="28"/>
          <w:highlight w:val="white"/>
        </w:rPr>
        <w:t xml:space="preserve">работ и услуг за 9 месяцев текущего года до 1 млрд рублей, в каждой природно-климатической зоне Новосибирской области, набравшие максимальное количество баллов, которое определяется по сумме баллов показателей, определенных пунктом 19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по показателям осуществляется в соответствии с приложением № 6 к 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21. Сельскохозяйственные организации, занявшие призовые места, поощряются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Благодарственным письмом </w:t>
      </w:r>
      <w:r>
        <w:rPr>
          <w:sz w:val="28"/>
          <w:szCs w:val="28"/>
          <w:highlight w:val="white"/>
        </w:rPr>
        <w:t xml:space="preserve">Губе</w:t>
      </w:r>
      <w:r>
        <w:rPr>
          <w:sz w:val="28"/>
          <w:szCs w:val="28"/>
          <w:highlight w:val="white"/>
        </w:rPr>
        <w:t xml:space="preserve">рнатора Новосибирской области и </w:t>
      </w:r>
      <w:r>
        <w:rPr>
          <w:sz w:val="28"/>
          <w:szCs w:val="28"/>
          <w:highlight w:val="white"/>
        </w:rPr>
        <w:t xml:space="preserve">легковым автомобилем.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22. Подведение итогов и определение победителя соревнования среди сельскохозяйственных организаций, имеющих выручку от реализации продукции, товаров, работ и услуг за 9 месяцев текущего года 1 млрд рублей и выше, проводится по 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экономике: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выручка от реализации продукц</w:t>
      </w:r>
      <w:r>
        <w:rPr>
          <w:sz w:val="28"/>
          <w:szCs w:val="28"/>
          <w:highlight w:val="white"/>
        </w:rPr>
        <w:t xml:space="preserve">ии, товаров, работ и услуг на 1 </w:t>
      </w:r>
      <w:r>
        <w:rPr>
          <w:sz w:val="28"/>
          <w:szCs w:val="28"/>
          <w:highlight w:val="white"/>
        </w:rPr>
        <w:t xml:space="preserve">среднесписочного работника за 9 месяцев текущего года (тыс.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заработная плата за 9 месяцев текущего года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среднемесячной заработной платы за 9 месяцев текущего года к 9 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фондовооруженности за 9 месяцев текущего года к 9 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прибыли до налогообложения за 9 месяцев текущего года к 9 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рост уровня рентабельности (без учета субсиди</w:t>
      </w:r>
      <w:r>
        <w:rPr>
          <w:sz w:val="28"/>
          <w:szCs w:val="28"/>
          <w:highlight w:val="white"/>
        </w:rPr>
        <w:t xml:space="preserve">й) за 9 месяцев текущего года к 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месяцам предыдущего года (процентных пунктов);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выполнение «золотого правила экономики предприятия»;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участие в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реализации мероприятия «Подготовка квалифицированных кадров для сельскохозяйственных товаропроизводителей, осуществляющих деятельность на сельских территориях»</w:t>
      </w:r>
      <w:r>
        <w:rPr>
          <w:sz w:val="28"/>
          <w:szCs w:val="28"/>
          <w:highlight w:val="white"/>
        </w:rPr>
        <w:t xml:space="preserve"> в рамках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государственной программы развития сельских территорий в текущем году по состоянию на 30 сентября: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количество заключенных ученических договоров и договоров о целевом обучении;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количество студентов, привлеченных для прохождения производственной практики;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3) прохождение ежегодного государственного технического осмотра эксплуатируемой самоходной техники, занятой в сельскохозяйственном производстве, по состоянию на 25 октября текущего года: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доля эксплуатируемой самоходной техники с пройденным ежегодным государственным техническим осмотром, занятой в сельскохозяйственном п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роизводстве, в общем количестве зарегистрированной в Инспекции государственного надзора за техническим состоянием самоходных машин и других видов техники Новосибирской области эксплуатируемой самоходной техники, занятой в сельскохозяйственном производстве.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23. Победителем соревнования признается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одна лучшая сельскохозяйственная организация</w:t>
      </w:r>
      <w:r>
        <w:rPr>
          <w:sz w:val="28"/>
          <w:szCs w:val="28"/>
          <w:highlight w:val="white"/>
        </w:rPr>
        <w:t xml:space="preserve">, имеющая выручку от реализации продукции, товаров, работ и услуг за 9 месяцев текущего года 1 млрд рублей и выше, набравшая максимальное количество баллов, которое определяется по сумме баллов показателей, определенных пунктом 22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осуществляется в соответствии с приложением № 6 к 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24. Сельскохозяйственная организация – победитель соревнования поощряется Благодарственным письмом Губернатора Новосибирской области и легковым автомобилем.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VI. Порядок подведения итогов соревнования между крестьянскими (фермерскими) хозяйствами и индивидуальными предпринимателями в природно-климатической зоне Новосибирской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10" w:name="P188"/>
      <w:r>
        <w:rPr>
          <w:highlight w:val="white"/>
        </w:rPr>
      </w:r>
      <w:bookmarkEnd w:id="10"/>
      <w:r>
        <w:rPr>
          <w:sz w:val="28"/>
          <w:szCs w:val="28"/>
          <w:highlight w:val="white"/>
        </w:rPr>
        <w:t xml:space="preserve">25. Подведение итогов и определение победителей соревнования среди крестьянских (фермерских) хозяйств и индивидуальных предпринимателей проводится по 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растениеводстве по итогам работы в текущем году по состоянию на 25 октября: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увеличение общей площади ярового сева к уровню предыдущего года (га);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урожайность зерновых, зернобобовых и технических культур с посевной площади в весе после доработки (ц/га);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зерна зерновых, зернобобовых и технических культур в весе после доработки в расчете на 1 балло-гектар пашни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заготовка грубых и сочных кормов в текущем году на период зимовки скота на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условную голову (ц кормовых единиц);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животноводстве за период с 1 октября предыдущего года по 30 сентября текущего года: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производство молока и валовой прирост живой массы сельскохозяйственных животных и птицы на 100 гектаров пашни текущего года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изменение численности сельскохозяйственных животных (условное поголовье) (голов);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валовое производство мяса в живом весе от специализированных мясных пород и их помесей (тонн);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экономике: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заработная плата за 9 месяцев текущего года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среднемесячной заработной платы за 9 месяцев текущего года к 9 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4) прохождение ежегодного государственного технического осмотра эксплуатируемой самоходной техники, занятой в сельскохозяйственном производстве, по состоянию на 25 октября текущего года: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доля эксплуатируемой самоходной техники с пройденным ежегодным государственным техническим осмотром, занятой в сельскохозяйственном п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роизводстве, в общем количестве зарегистрированной в Инспекции государственного надзора за техническим состоянием самоходных машин и других видов техники Новосибирской области эксплуатируемой самоходной техники, занятой в сельскохозяйственном производстве.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26. Победителями соревнования признаются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три лучших крестьянских (фермерских) хозяйства (индивидуальных предпринимателя)</w:t>
      </w:r>
      <w:r>
        <w:rPr>
          <w:sz w:val="28"/>
          <w:szCs w:val="28"/>
          <w:highlight w:val="white"/>
        </w:rPr>
        <w:t xml:space="preserve"> в каждой природно-климатической зоне Новосибирской области, набравших максимальное количество баллов, которое определяется по сумме баллов показателей, определенных пунктом 25 настоящего Положения.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осуществляется в соответствии с приложением № 6 к 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27. Крестьянские (фермерские) хозяйства (индивидуальные предприниматели), признанные призерами, поощряются: за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 места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– Благодарственным письмом Губернатора Новосибирской области и легковым автомобилем, за </w:t>
      </w:r>
      <w:r>
        <w:rPr>
          <w:sz w:val="28"/>
          <w:szCs w:val="28"/>
          <w:highlight w:val="white"/>
          <w:lang w:val="en-US"/>
        </w:rPr>
        <w:t xml:space="preserve">III</w:t>
      </w:r>
      <w:r>
        <w:rPr>
          <w:sz w:val="28"/>
          <w:szCs w:val="28"/>
          <w:highlight w:val="white"/>
        </w:rPr>
        <w:t xml:space="preserve"> место – Благодарственным письмом Губернатора Новосибирской области и косилкой навесной.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VII. Порядок подведения итогов соревнования между профессиональными образовательными организациями,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занятыми на уборке урожая зерновых и зернобобовых культур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28. Подведение итогов и определение победителей соревнования среди профессиональных образовательных организаций, занятых на уборке урожая зерновых и зернобобовых культур, проводится по состоянию на 25 октября текущего года по 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площадь ярового сева зернов</w:t>
      </w:r>
      <w:r>
        <w:rPr>
          <w:sz w:val="28"/>
          <w:szCs w:val="28"/>
          <w:highlight w:val="white"/>
        </w:rPr>
        <w:t xml:space="preserve">ых и зернобобовых культур (га);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урожайность зерновых и зернобобовых культур в весе после доработки (ц/га).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trike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29. Победителем соревнования признается одна профессиональная образовательная организация, добившаяся наивысшего показателя по сумме баллов (по площади ярового сева и урожайности зе</w:t>
      </w:r>
      <w:r>
        <w:rPr>
          <w:sz w:val="28"/>
          <w:szCs w:val="28"/>
          <w:highlight w:val="white"/>
        </w:rPr>
        <w:t xml:space="preserve">рновых и зернобобовых культур).</w:t>
      </w:r>
      <w:r>
        <w:rPr>
          <w:strike/>
          <w:sz w:val="28"/>
          <w:szCs w:val="28"/>
          <w:highlight w:val="white"/>
        </w:rPr>
      </w:r>
      <w:r>
        <w:rPr>
          <w:strike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по показателям осуществл</w:t>
      </w:r>
      <w:r>
        <w:rPr>
          <w:sz w:val="28"/>
          <w:szCs w:val="28"/>
          <w:highlight w:val="white"/>
        </w:rPr>
        <w:t xml:space="preserve">яется в соответствии с таблицей </w:t>
      </w:r>
      <w:r>
        <w:rPr>
          <w:sz w:val="28"/>
          <w:szCs w:val="28"/>
          <w:highlight w:val="white"/>
        </w:rPr>
        <w:t xml:space="preserve">9 приложения № 3 к 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30. Профессиональная образовательная организация – победитель соревнования поощряется Благодарственным письмом Губернатора Новосибирской области и легковым автомобилем.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VIII. Порядок подведения итогов соревнования между организациями агропромышленного комплекса, индивидуальными предпринимателями, осуществляющими производство </w:t>
      </w:r>
      <w:r>
        <w:rPr>
          <w:b/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переработку сельскохозяйственной продукции, хранение, складирование зерна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bookmarkStart w:id="11" w:name="P252"/>
      <w:r>
        <w:rPr>
          <w:highlight w:val="white"/>
        </w:rPr>
      </w:r>
      <w:bookmarkEnd w:id="11"/>
      <w:r>
        <w:rPr>
          <w:sz w:val="28"/>
          <w:szCs w:val="28"/>
          <w:highlight w:val="white"/>
        </w:rPr>
        <w:t xml:space="preserve">31. Подведение итогов и определение победителей соревнования среди организаций агропромышленного комплекса, индивидуальных предпринимателей, осуществляющих производство </w:t>
      </w:r>
      <w:r>
        <w:rPr>
          <w:sz w:val="28"/>
          <w:szCs w:val="28"/>
          <w:highlight w:val="white"/>
        </w:rPr>
        <w:t xml:space="preserve">и (или)</w:t>
      </w:r>
      <w:r>
        <w:rPr>
          <w:sz w:val="28"/>
          <w:szCs w:val="28"/>
          <w:highlight w:val="white"/>
        </w:rPr>
        <w:t xml:space="preserve"> переработку сельскохозяйственной продукции в отраслях мясной, молочной, мукомольно-крупяной, комбикормовой, промышленности, отрасли переработки масличных культур, а также осуществляющих хранение и складирование зерна, проводится за период с 1 января по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сентября текущего года по следующим показателям: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рост объемов производства, оказываемых услуг за 9 месяцев текущего года 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показателям за 9 месяцев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рост уровня рентабельности (без учета субсиди</w:t>
      </w:r>
      <w:r>
        <w:rPr>
          <w:sz w:val="28"/>
          <w:szCs w:val="28"/>
          <w:highlight w:val="white"/>
        </w:rPr>
        <w:t xml:space="preserve">й) за 9 месяцев текущего года к 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месяцам предыдущего года (процентных пунктов);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заработная плата за 9 месяцев текущего года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темп роста среднемесячной заработной платы за 9 месяцев текущего года к 9 месяцам предыдущего года (%);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замечаний от органов, осуществляющих контроль в области качества и безопасности пищевой продукции;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обеспечение повышения технического уровня производства;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участий в конкурсах, ярмарках, выставках различных форм с целью развития системы продвижения на рынок продукции;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участие в реализации национального проекта «Производительность труда и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 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поддержка занятости» в текущем году 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по состоянию на 30 сентября.</w:t>
      </w:r>
      <w:r>
        <w:rPr>
          <w:rFonts w:eastAsia="Calibri"/>
          <w:bCs/>
          <w:sz w:val="28"/>
          <w:szCs w:val="28"/>
          <w:highlight w:val="white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32. </w:t>
      </w:r>
      <w:r>
        <w:rPr>
          <w:sz w:val="28"/>
          <w:szCs w:val="28"/>
          <w:highlight w:val="white"/>
        </w:rPr>
        <w:t xml:space="preserve">Победителем соревнования признается по одной организации (индивидуальному предпринимателю), набравшей максимальное количество баллов, которое определяется по сумме баллов показателей, определенных пунктом 31 настоящего Положения, по следующим направлениям: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производящие и реализующие молочную продукцию;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производящие и реализующие мясную продукцию;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производящие и реализующие муку, крупу, масло растительное, комбикормовую продукцию, организ</w:t>
      </w:r>
      <w:r>
        <w:rPr>
          <w:sz w:val="28"/>
          <w:szCs w:val="28"/>
          <w:highlight w:val="white"/>
        </w:rPr>
        <w:t xml:space="preserve">ации, осуществляющие хранение и </w:t>
      </w:r>
      <w:r>
        <w:rPr>
          <w:sz w:val="28"/>
          <w:szCs w:val="28"/>
          <w:highlight w:val="white"/>
        </w:rPr>
        <w:t xml:space="preserve">складирование зерна.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баллов осуществляется в соответствии с приложением № 7 к настоящему Положению.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33. Победители награждаются Благодарственным письмом Губернатора Новосибирской области и легковым автомобилем.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IX. Финансовое обеспечение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34. Награждение победителей соревнований осуществляется за счет средств областного бюджета Новосибирской области, предусмотренных Министерству </w:t>
      </w:r>
      <w:r>
        <w:rPr>
          <w:sz w:val="28"/>
          <w:szCs w:val="28"/>
          <w:highlight w:val="white"/>
        </w:rPr>
        <w:t xml:space="preserve">в 2025 г</w:t>
      </w:r>
      <w:r>
        <w:rPr>
          <w:sz w:val="28"/>
          <w:szCs w:val="28"/>
          <w:highlight w:val="white"/>
        </w:rPr>
        <w:t xml:space="preserve">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</w:t>
      </w:r>
      <w:r>
        <w:rPr>
          <w:sz w:val="28"/>
          <w:szCs w:val="28"/>
          <w:highlight w:val="white"/>
        </w:rPr>
        <w:t xml:space="preserve">области от 02.02.2015 № 37-п, в </w:t>
      </w:r>
      <w:r>
        <w:rPr>
          <w:sz w:val="28"/>
          <w:szCs w:val="28"/>
          <w:highlight w:val="white"/>
        </w:rPr>
        <w:t xml:space="preserve">следующем объеме: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43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технических средств для награждения победителей соревнования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4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Средства областного бюджета Новосибирской области для приобретения технических средств для награждения победителей соревнования,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4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Легковой автомобиль,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29 </w:t>
            </w:r>
            <w:r>
              <w:rPr>
                <w:sz w:val="28"/>
                <w:szCs w:val="28"/>
                <w:highlight w:val="white"/>
              </w:rPr>
              <w:t xml:space="preserve">единиц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4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45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849 </w:t>
            </w:r>
            <w:r>
              <w:rPr>
                <w:sz w:val="28"/>
                <w:szCs w:val="28"/>
                <w:highlight w:val="none"/>
              </w:rPr>
              <w:t xml:space="preserve">999,87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4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Косилка навесная, 3 единицы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4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1 000</w:t>
            </w:r>
            <w:r>
              <w:rPr>
                <w:sz w:val="28"/>
                <w:szCs w:val="28"/>
                <w:highlight w:val="white"/>
              </w:rPr>
              <w:t xml:space="preserve"> 000,02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4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4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6 849 999,89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7755127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7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>
    <w:name w:val="Heading 1"/>
    <w:basedOn w:val="676"/>
    <w:next w:val="676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76"/>
    <w:next w:val="676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6"/>
    <w:link w:val="713"/>
    <w:uiPriority w:val="10"/>
    <w:rPr>
      <w:sz w:val="48"/>
      <w:szCs w:val="48"/>
    </w:rPr>
  </w:style>
  <w:style w:type="paragraph" w:styleId="715">
    <w:name w:val="Subtitle"/>
    <w:basedOn w:val="676"/>
    <w:next w:val="676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basedOn w:val="686"/>
    <w:link w:val="715"/>
    <w:uiPriority w:val="11"/>
    <w:rPr>
      <w:sz w:val="24"/>
      <w:szCs w:val="24"/>
    </w:rPr>
  </w:style>
  <w:style w:type="paragraph" w:styleId="717">
    <w:name w:val="Quote"/>
    <w:basedOn w:val="676"/>
    <w:next w:val="676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6"/>
    <w:next w:val="676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6"/>
    <w:uiPriority w:val="99"/>
  </w:style>
  <w:style w:type="character" w:styleId="722" w:customStyle="1">
    <w:name w:val="Footer Char"/>
    <w:basedOn w:val="686"/>
    <w:uiPriority w:val="99"/>
  </w:style>
  <w:style w:type="paragraph" w:styleId="723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 w:customStyle="1">
    <w:name w:val="Footnote Text Char"/>
    <w:uiPriority w:val="99"/>
    <w:rPr>
      <w:sz w:val="18"/>
    </w:rPr>
  </w:style>
  <w:style w:type="paragraph" w:styleId="852">
    <w:name w:val="endnote text"/>
    <w:basedOn w:val="676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6"/>
    <w:uiPriority w:val="99"/>
    <w:semiHidden/>
    <w:unhideWhenUsed/>
    <w:rPr>
      <w:vertAlign w:val="superscript"/>
    </w:rPr>
  </w:style>
  <w:style w:type="paragraph" w:styleId="855">
    <w:name w:val="toc 1"/>
    <w:basedOn w:val="676"/>
    <w:next w:val="676"/>
    <w:uiPriority w:val="39"/>
    <w:unhideWhenUsed/>
    <w:pPr>
      <w:spacing w:after="57"/>
    </w:pPr>
  </w:style>
  <w:style w:type="paragraph" w:styleId="856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57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58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59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0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1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2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3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6"/>
    <w:next w:val="676"/>
    <w:uiPriority w:val="99"/>
    <w:unhideWhenUsed/>
  </w:style>
  <w:style w:type="character" w:styleId="866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867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Balloon Text"/>
    <w:basedOn w:val="676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86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0">
    <w:name w:val="Header"/>
    <w:basedOn w:val="676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6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Footer"/>
    <w:basedOn w:val="676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86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List Paragraph"/>
    <w:basedOn w:val="676"/>
    <w:uiPriority w:val="34"/>
    <w:qFormat/>
    <w:pPr>
      <w:contextualSpacing/>
      <w:ind w:left="720"/>
    </w:pPr>
  </w:style>
  <w:style w:type="character" w:styleId="875">
    <w:name w:val="annotation reference"/>
    <w:basedOn w:val="686"/>
    <w:uiPriority w:val="99"/>
    <w:semiHidden/>
    <w:unhideWhenUsed/>
    <w:rPr>
      <w:sz w:val="16"/>
      <w:szCs w:val="16"/>
    </w:rPr>
  </w:style>
  <w:style w:type="paragraph" w:styleId="876">
    <w:name w:val="annotation text"/>
    <w:basedOn w:val="676"/>
    <w:link w:val="877"/>
    <w:uiPriority w:val="99"/>
    <w:semiHidden/>
    <w:unhideWhenUsed/>
    <w:rPr>
      <w:sz w:val="20"/>
      <w:szCs w:val="20"/>
    </w:rPr>
  </w:style>
  <w:style w:type="character" w:styleId="877" w:customStyle="1">
    <w:name w:val="Текст примечания Знак"/>
    <w:basedOn w:val="686"/>
    <w:link w:val="87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0">
    <w:name w:val="footnote text"/>
    <w:basedOn w:val="676"/>
    <w:link w:val="881"/>
    <w:uiPriority w:val="99"/>
    <w:semiHidden/>
    <w:unhideWhenUsed/>
    <w:rPr>
      <w:sz w:val="20"/>
      <w:szCs w:val="20"/>
    </w:rPr>
  </w:style>
  <w:style w:type="character" w:styleId="881" w:customStyle="1">
    <w:name w:val="Текст сноски Знак"/>
    <w:basedOn w:val="686"/>
    <w:link w:val="88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2">
    <w:name w:val="footnote reference"/>
    <w:basedOn w:val="686"/>
    <w:uiPriority w:val="99"/>
    <w:semiHidden/>
    <w:unhideWhenUsed/>
    <w:rPr>
      <w:vertAlign w:val="superscript"/>
    </w:rPr>
  </w:style>
  <w:style w:type="paragraph" w:styleId="883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D066-68E2-438A-B8C9-B9C24BE3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32</cp:revision>
  <dcterms:created xsi:type="dcterms:W3CDTF">2024-06-04T05:47:00Z</dcterms:created>
  <dcterms:modified xsi:type="dcterms:W3CDTF">2025-03-12T05:43:41Z</dcterms:modified>
</cp:coreProperties>
</file>