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                                                                         Проект приказа министерства</w:t>
      </w:r>
    </w:p>
    <w:p>
      <w:pPr>
        <w:jc w:val="center"/>
      </w:pPr>
      <w:r>
        <w:t xml:space="preserve">                                                         юстиции Новосибирской области – НПА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/>
        <w:tabs>
          <w:tab w:val="left" w:pos="4678"/>
        </w:tabs>
        <w:jc w:val="center"/>
        <w:outlineLvl w:val="0"/>
      </w:pPr>
      <w:permStart w:edGrp="everyone" w:id="1906574348"/>
      <w:r>
        <w:t xml:space="preserve">О внесении изменений в Порядок организации и осуществления внутреннего финансового аудита в министерстве юстиции Новосибирской области </w:t>
      </w:r>
      <w:permEnd w:id="1906574348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tabs>
          <w:tab w:val="left" w:pos="7795"/>
          <w:tab w:val="left" w:pos="8362"/>
          <w:tab w:val="left" w:pos="8504"/>
        </w:tabs>
        <w:ind w:firstLine="709"/>
        <w:jc w:val="both"/>
      </w:pPr>
      <w:bookmarkStart w:id="0" w:name="body1"/>
      <w:bookmarkEnd w:id="0"/>
      <w:permStart w:edGrp="everyone" w:id="1352205026"/>
      <w:r>
        <w:t xml:space="preserve">В целях совершенствования правового регулирования осуществления внутреннего финансового аудита в министерстве юстиции</w:t>
      </w:r>
      <w:r>
        <w:t xml:space="preserve"> Новосибирской </w:t>
      </w:r>
      <w:r>
        <w:t xml:space="preserve">области  </w:t>
      </w:r>
      <w:r>
        <w:rPr>
          <w:b/>
        </w:rPr>
        <w:t xml:space="preserve">п</w:t>
      </w:r>
      <w:r>
        <w:rPr>
          <w:b/>
        </w:rPr>
        <w:t xml:space="preserve"> р и к а з ы в а ю:</w:t>
      </w:r>
    </w:p>
    <w:p>
      <w:pPr>
        <w:ind w:firstLine="709"/>
        <w:jc w:val="both"/>
      </w:pPr>
      <w:r>
        <w:t xml:space="preserve">Внести в Порядок </w:t>
      </w:r>
      <w:r>
        <w:t xml:space="preserve">организации и осуществления внутреннего финансового аудита в министерстве юстиции Новосибирской области, утвержденный приказом министерства юстиции Новосибирской области от 23.10.2024 № 7-НПА, с</w:t>
      </w:r>
      <w:r>
        <w:t xml:space="preserve">ледующие изменения:</w:t>
      </w:r>
    </w:p>
    <w:p>
      <w:pPr>
        <w:pStyle w:val="afe"/>
        <w:numPr>
          <w:numId w:val="5"/>
          <w:ilvl w:val="0"/>
        </w:numPr>
        <w:tabs>
          <w:tab w:val="left" w:pos="992"/>
        </w:tabs>
        <w:ind w:left="0" w:firstLine="709"/>
        <w:jc w:val="both"/>
      </w:pPr>
      <w:r>
        <w:t xml:space="preserve">Абзац первый пункта 24 изложить в следующей редакции: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 xml:space="preserve">«24. Срок проведения аудиторского мероприятия устанавливается при утверждении программы аудиторского мероприятия.»</w:t>
      </w:r>
      <w:r>
        <w:rPr>
          <w:rFonts w:eastAsiaTheme="minorHAnsi"/>
          <w:lang w:eastAsia="en-US"/>
        </w:rPr>
        <w:t xml:space="preserve">.</w:t>
      </w:r>
    </w:p>
    <w:p>
      <w:pPr>
        <w:ind w:firstLine="709"/>
        <w:jc w:val="both"/>
      </w:pPr>
      <w:r>
        <w:t xml:space="preserve">2. Дополнить разделом </w:t>
      </w:r>
      <w:r>
        <w:rPr>
          <w:lang w:val="en-US"/>
        </w:rPr>
        <w:t xml:space="preserve">IX</w:t>
      </w:r>
      <w:r>
        <w:t xml:space="preserve"> следующего содержания:</w:t>
      </w:r>
    </w:p>
    <w:p>
      <w:pPr>
        <w:tabs>
          <w:tab w:val="left" w:pos="7795"/>
          <w:tab w:val="left" w:pos="8362"/>
          <w:tab w:val="left" w:pos="8504"/>
        </w:tabs>
        <w:ind w:firstLine="709"/>
        <w:jc w:val="center"/>
      </w:pPr>
      <w:r>
        <w:t xml:space="preserve">«</w:t>
      </w:r>
      <w:r>
        <w:rPr>
          <w:b/>
          <w:bCs/>
          <w:lang w:val="en-US"/>
        </w:rPr>
        <w:t xml:space="preserve">IX</w:t>
      </w:r>
      <w:r>
        <w:rPr>
          <w:b/>
          <w:bCs/>
        </w:rPr>
        <w:t xml:space="preserve">. Консультирова</w:t>
      </w:r>
      <w:r>
        <w:rPr>
          <w:b/>
          <w:bCs/>
        </w:rPr>
        <w:t xml:space="preserve">ние субъектов бюджетных процедур</w:t>
      </w:r>
      <w:r>
        <w:t xml:space="preserve"> </w:t>
      </w:r>
    </w:p>
    <w:p>
      <w:pPr>
        <w:pStyle w:val="afe"/>
        <w:tabs>
          <w:tab w:val="left" w:pos="993"/>
        </w:tabs>
        <w:ind w:left="0" w:right="142" w:firstLine="709"/>
        <w:jc w:val="both"/>
      </w:pPr>
      <w:r>
        <w:t xml:space="preserve">49. </w:t>
      </w:r>
      <w:r>
        <w:t xml:space="preserve">Консультирование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менеджмента, осуществляется </w:t>
      </w:r>
      <w:r>
        <w:t xml:space="preserve">субъектом</w:t>
      </w:r>
      <w:r>
        <w:t xml:space="preserve"> вн</w:t>
      </w:r>
      <w:r>
        <w:t xml:space="preserve">утреннего финансового аудита</w:t>
      </w:r>
      <w:r>
        <w:t xml:space="preserve"> по решению руководителя</w:t>
      </w:r>
      <w:bookmarkStart w:id="1" w:name="_GoBack"/>
      <w:bookmarkEnd w:id="1"/>
      <w:r>
        <w:t xml:space="preserve">.</w:t>
      </w:r>
    </w:p>
    <w:p>
      <w:pPr>
        <w:pStyle w:val="afe"/>
        <w:tabs>
          <w:tab w:val="left" w:pos="993"/>
        </w:tabs>
        <w:ind w:left="0" w:right="142" w:firstLine="709"/>
        <w:jc w:val="both"/>
      </w:pPr>
      <w:r>
        <w:t xml:space="preserve">Итоги консультирования оформляются в письменном виде:</w:t>
      </w:r>
      <w:r>
        <w:t xml:space="preserve"> </w:t>
      </w:r>
    </w:p>
    <w:p>
      <w:pPr>
        <w:tabs>
          <w:tab w:val="left" w:pos="993"/>
        </w:tabs>
        <w:ind w:right="141" w:firstLine="709"/>
        <w:jc w:val="both"/>
      </w:pPr>
      <w:r>
        <w:t xml:space="preserve">1) </w:t>
      </w:r>
      <w:r>
        <w:t xml:space="preserve">в форме аналитических записок (справок) о результатах оценки бюджетных рисков, в том числе в рамках ведения реестра бюджетных рисков</w:t>
      </w:r>
      <w:r>
        <w:t xml:space="preserve">;</w:t>
      </w:r>
    </w:p>
    <w:p>
      <w:pPr>
        <w:pStyle w:val="afe"/>
        <w:tabs>
          <w:tab w:val="left" w:pos="0"/>
        </w:tabs>
        <w:ind w:left="0" w:right="141" w:firstLine="709"/>
        <w:jc w:val="both"/>
      </w:pPr>
      <w:r>
        <w:t xml:space="preserve">2) </w:t>
      </w:r>
      <w:r>
        <w:t xml:space="preserve">в форме служебных писем по письменным </w:t>
      </w:r>
      <w:r>
        <w:t xml:space="preserve">или устным обращениям субъектов бюджетных процедур</w:t>
      </w:r>
      <w:r>
        <w:t xml:space="preserve">.</w:t>
      </w:r>
    </w:p>
    <w:p>
      <w:pPr>
        <w:pStyle w:val="afe"/>
        <w:tabs>
          <w:tab w:val="left" w:pos="993"/>
        </w:tabs>
        <w:ind w:left="0" w:right="142" w:firstLine="709"/>
        <w:jc w:val="both"/>
      </w:pPr>
      <w:r>
        <w:t xml:space="preserve">50. Итоги консультирования в письменной форме представляются </w:t>
      </w:r>
      <w:r>
        <w:t xml:space="preserve">субъектом внутреннего финансового аудита субъектам бюджетных процедур, являющимся руководителями структур</w:t>
      </w:r>
      <w:r>
        <w:t xml:space="preserve">ных подразделений министерства, в течение 5 рабочих дней с момента поступления обращения.</w:t>
      </w:r>
    </w:p>
    <w:p>
      <w:pPr>
        <w:pStyle w:val="afe"/>
        <w:tabs>
          <w:tab w:val="left" w:pos="993"/>
        </w:tabs>
        <w:ind w:left="0" w:right="142" w:firstLine="709"/>
        <w:jc w:val="both"/>
      </w:pPr>
      <w:r>
        <w:t xml:space="preserve"> </w:t>
      </w:r>
      <w:r>
        <w:t xml:space="preserve">Субъекты </w:t>
      </w:r>
      <w:r>
        <w:t xml:space="preserve">бюджетных процедур, являющиеся руководителями структурных подразделений министерства, вправе самостоятельно принимать решения о необходимости, содержании и </w:t>
      </w:r>
      <w:r>
        <w:t xml:space="preserve">сроках реализации мер по минимизации (устранению) бюджетных рисков по итогам консультирования.</w:t>
      </w:r>
    </w:p>
    <w:p>
      <w:pPr>
        <w:pStyle w:val="afe"/>
        <w:tabs>
          <w:tab w:val="left" w:pos="993"/>
        </w:tabs>
        <w:ind w:left="0" w:right="142" w:firstLine="709"/>
        <w:jc w:val="both"/>
      </w:pPr>
      <w:r>
        <w:t xml:space="preserve"> 51. Итоги консультирования учитываются субъектом внутреннего финансового аудита:</w:t>
      </w:r>
    </w:p>
    <w:p>
      <w:pPr>
        <w:pStyle w:val="afe"/>
        <w:tabs>
          <w:tab w:val="left" w:pos="993"/>
        </w:tabs>
        <w:ind w:left="0" w:right="142" w:firstLine="709"/>
        <w:jc w:val="both"/>
      </w:pPr>
      <w:r>
        <w:t xml:space="preserve">1) при ведении реестра бюджетных рисков;</w:t>
      </w:r>
    </w:p>
    <w:p>
      <w:pPr>
        <w:pStyle w:val="afe"/>
        <w:tabs>
          <w:tab w:val="left" w:pos="993"/>
        </w:tabs>
        <w:ind w:left="0" w:right="142" w:firstLine="709"/>
        <w:jc w:val="both"/>
      </w:pPr>
      <w:r>
        <w:t xml:space="preserve">2) при формировании данных для составл</w:t>
      </w:r>
      <w:r>
        <w:t xml:space="preserve">ения проекта плана проведения аудиторских мероприятий с точки зрения отсутствия необходимости (необходимости) проведения аудиторских мероприятий в отношении бюджетных процедур (операций), по которым осуществлялось консультирование в годы, </w:t>
      </w:r>
      <w:r>
        <w:t xml:space="preserve">предшествующие го</w:t>
      </w:r>
      <w:r>
        <w:t xml:space="preserve">ду составления проекта плана проведения аудиторских мероприятий (1 – 2 года);</w:t>
      </w:r>
    </w:p>
    <w:p>
      <w:pPr>
        <w:pStyle w:val="afe"/>
        <w:tabs>
          <w:tab w:val="left" w:pos="993"/>
        </w:tabs>
        <w:ind w:left="0" w:right="142" w:firstLine="709"/>
        <w:jc w:val="both"/>
      </w:pPr>
      <w:r>
        <w:t xml:space="preserve">3) в составе годовой отчетности о результатах деятельности субъекта внутреннего финансового аудита.».  </w:t>
      </w:r>
      <w:permEnd w:id="1352205026"/>
    </w:p>
    <w:p>
      <w:pPr>
        <w:ind w:firstLine="709"/>
        <w:jc w:val="both"/>
        <w:rPr>
          <w:rFonts w:eastAsia="Calibri" w:cs="Calibri"/>
        </w:rPr>
      </w:pPr>
    </w:p>
    <w:p>
      <w:pPr>
        <w:ind w:firstLine="709"/>
        <w:jc w:val="both"/>
        <w:rPr>
          <w:rFonts w:eastAsia="Calibri" w:cs="Calibri"/>
        </w:rPr>
      </w:pPr>
    </w:p>
    <w:p>
      <w:pPr>
        <w:ind w:firstLine="709"/>
        <w:jc w:val="both"/>
        <w:rPr>
          <w:rFonts w:eastAsia="Calibri" w:cs="Calibri"/>
        </w:rPr>
      </w:pPr>
    </w:p>
    <w:p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Министр                                                                </w:t>
      </w:r>
      <w:r>
        <w:rPr>
          <w:rFonts w:eastAsia="Calibri" w:cs="Calibri"/>
        </w:rPr>
        <w:t xml:space="preserve">                                         Т.Н. Деркач</w:t>
      </w:r>
    </w:p>
    <w:p>
      <w:pPr>
        <w:spacing w:line="300" w:lineRule="auto"/>
        <w:rPr>
          <w:sz w:val="24"/>
          <w:szCs w:val="24"/>
        </w:rPr>
      </w:pPr>
    </w:p>
    <w:p>
      <w:pPr>
        <w:pStyle w:val="af0"/>
        <w:tabs>
          <w:tab w:val="clear" w:pos="4153"/>
          <w:tab w:val="clear" w:pos="8306"/>
        </w:tabs>
        <w:jc w:val="center"/>
        <w:rPr>
          <w:color w:val="ffffff"/>
        </w:rPr>
      </w:pPr>
      <w:r>
        <w:rPr>
          <w:color w:val="ffffff"/>
        </w:rPr>
        <w:t xml:space="preserve">[МЕСТО ДЛЯ ПОДПИСИ]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permStart w:edGrp="everyone" w:id="1557676098"/>
      <w:r>
        <w:rPr>
          <w:sz w:val="20"/>
          <w:szCs w:val="20"/>
        </w:rPr>
        <w:t xml:space="preserve">Л.А. Горх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238 41 45</w:t>
      </w:r>
    </w:p>
    <w:permEnd w:id="1557676098"/>
    <w:p>
      <w:pPr>
        <w:tabs>
          <w:tab w:val="left" w:pos="709"/>
        </w:tabs>
        <w:rPr>
          <w:sz w:val="27"/>
          <w:szCs w:val="27"/>
        </w:rPr>
      </w:pPr>
    </w:p>
    <w:p>
      <w:pPr>
        <w:rPr>
          <w:sz w:val="20"/>
          <w:szCs w:val="20"/>
        </w:rPr>
      </w:pPr>
    </w:p>
    <w:sectPr>
      <w:headerReference w:type="even" r:id="rId9"/>
      <w:headerReference w:type="default" r:id="rId10"/>
      <w:footerReference w:type="even" r:id="rId11"/>
      <w:pgSz w:w="11906" w:h="16838"/>
      <w:pgMar w:top="851" w:right="567" w:bottom="1134" w:left="1418" w:header="556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</w:p>
  <w:p>
    <w:pPr>
      <w:pStyle w:val="af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 w:tplc="A5E2749C">
      <w:start w:val="1"/>
      <w:numFmt w:val="bullet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 w:tplc="E14A9450">
      <w:start w:val="1"/>
      <w:numFmt w:val="bullet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 w:tplc="2E56EDF2">
      <w:start w:val="1"/>
      <w:numFmt w:val="bullet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 w:tplc="DB8C03AA">
      <w:start w:val="1"/>
      <w:numFmt w:val="bullet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 w:tplc="FC863158">
      <w:start w:val="1"/>
      <w:numFmt w:val="bullet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 w:tplc="56A67DD4">
      <w:start w:val="1"/>
      <w:numFmt w:val="bullet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 w:tplc="8A58E058">
      <w:start w:val="1"/>
      <w:numFmt w:val="bullet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 w:tplc="191451FE">
      <w:start w:val="1"/>
      <w:numFmt w:val="bullet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 w:tplc="129A1908">
      <w:start w:val="1"/>
      <w:numFmt w:val="bullet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 w:tplc="F5B839B4">
      <w:start w:val="1"/>
      <w:numFmt w:val="upperRoman"/>
      <w:lvlText w:val="%1."/>
      <w:lvlJc w:val="left"/>
      <w:pPr>
        <w:ind w:left="1080" w:hanging="720"/>
      </w:pPr>
    </w:lvl>
    <w:lvl w:ilvl="1" w:tplc="3CACDD06">
      <w:start w:val="1"/>
      <w:numFmt w:val="lowerLetter"/>
      <w:lvlText w:val="%2."/>
      <w:lvlJc w:val="left"/>
      <w:pPr>
        <w:ind w:left="1440" w:hanging="360"/>
      </w:pPr>
    </w:lvl>
    <w:lvl w:ilvl="2" w:tplc="CC60122E">
      <w:start w:val="1"/>
      <w:numFmt w:val="lowerRoman"/>
      <w:lvlText w:val="%3."/>
      <w:lvlJc w:val="right"/>
      <w:pPr>
        <w:ind w:left="2160" w:hanging="180"/>
      </w:pPr>
    </w:lvl>
    <w:lvl w:ilvl="3" w:tplc="CDA4A7F6">
      <w:start w:val="1"/>
      <w:numFmt w:val="decimal"/>
      <w:lvlText w:val="%4."/>
      <w:lvlJc w:val="left"/>
      <w:pPr>
        <w:ind w:left="2880" w:hanging="360"/>
      </w:pPr>
    </w:lvl>
    <w:lvl w:ilvl="4" w:tplc="F0F0B75E">
      <w:start w:val="1"/>
      <w:numFmt w:val="lowerLetter"/>
      <w:lvlText w:val="%5."/>
      <w:lvlJc w:val="left"/>
      <w:pPr>
        <w:ind w:left="3600" w:hanging="360"/>
      </w:pPr>
    </w:lvl>
    <w:lvl w:ilvl="5" w:tplc="0338EDE6">
      <w:start w:val="1"/>
      <w:numFmt w:val="lowerRoman"/>
      <w:lvlText w:val="%6."/>
      <w:lvlJc w:val="right"/>
      <w:pPr>
        <w:ind w:left="4320" w:hanging="180"/>
      </w:pPr>
    </w:lvl>
    <w:lvl w:ilvl="6" w:tplc="27881394">
      <w:start w:val="1"/>
      <w:numFmt w:val="decimal"/>
      <w:lvlText w:val="%7."/>
      <w:lvlJc w:val="left"/>
      <w:pPr>
        <w:ind w:left="5040" w:hanging="360"/>
      </w:pPr>
    </w:lvl>
    <w:lvl w:ilvl="7" w:tplc="9702AA48">
      <w:start w:val="1"/>
      <w:numFmt w:val="lowerLetter"/>
      <w:lvlText w:val="%8."/>
      <w:lvlJc w:val="left"/>
      <w:pPr>
        <w:ind w:left="5760" w:hanging="360"/>
      </w:pPr>
    </w:lvl>
    <w:lvl w:ilvl="8" w:tplc="F94EBDF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styleId="ac" w:customStyle="1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styleId="af1" w:customStyle="1">
    <w:name w:val="Верхний колонтитул Знак"/>
    <w:link w:val="af0"/>
    <w:uiPriority w:val="99"/>
    <w:rPr>
      <w:sz w:val="28"/>
      <w:szCs w:val="28"/>
      <w:lang w:val="ru-RU" w:eastAsia="ru-RU" w:bidi="ar-SA"/>
    </w:rPr>
  </w:style>
  <w:style w:type="character" w:styleId="af2">
    <w:name w:val="Hyperlink"/>
    <w:rPr>
      <w:rFonts w:cs="Times New Roman"/>
      <w:color w:val="0000ff"/>
      <w:u w:val="single"/>
    </w:rPr>
  </w:style>
  <w:style w:type="paragraph" w:styleId="25">
    <w:name w:val="Body Text 2"/>
    <w:basedOn w:val="a"/>
    <w:link w:val="26"/>
    <w:pPr>
      <w:jc w:val="both"/>
    </w:pPr>
  </w:style>
  <w:style w:type="character" w:styleId="26" w:customStyle="1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styleId="34" w:customStyle="1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table" w:styleId="af3">
    <w:name w:val="Table Grid"/>
    <w:basedOn w:val="a1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5">
    <w:name w:val="page number"/>
    <w:rPr>
      <w:rFonts w:cs="Times New Roman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7" w:customStyle="1">
    <w:name w:val="Нижний колонтитул Знак"/>
    <w:link w:val="af6"/>
    <w:rPr>
      <w:sz w:val="24"/>
      <w:szCs w:val="24"/>
    </w:rPr>
  </w:style>
  <w:style w:type="character" w:styleId="20" w:customStyle="1">
    <w:name w:val="Заголовок 2 Знак"/>
    <w:link w:val="2"/>
    <w:uiPriority w:val="99"/>
    <w:rPr>
      <w:sz w:val="28"/>
      <w:szCs w:val="28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9">
    <w:name w:val="footnote text"/>
    <w:basedOn w:val="a"/>
    <w:link w:val="afa"/>
    <w:unhideWhenUsed/>
    <w:rPr>
      <w:sz w:val="20"/>
      <w:szCs w:val="20"/>
    </w:rPr>
  </w:style>
  <w:style w:type="character" w:styleId="afa" w:customStyle="1">
    <w:name w:val="Текст сноски Знак"/>
    <w:basedOn w:val="a0"/>
    <w:link w:val="af9"/>
  </w:style>
  <w:style w:type="character" w:styleId="afb">
    <w:name w:val="footnote reference"/>
    <w:basedOn w:val="a0"/>
    <w:unhideWhenUsed/>
    <w:rPr>
      <w:vertAlign w:val="superscript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styleId="afd" w:customStyle="1">
    <w:name w:val="Основной текст Знак"/>
    <w:basedOn w:val="a0"/>
    <w:link w:val="afc"/>
    <w:uiPriority w:val="99"/>
    <w:semiHidden/>
    <w:rPr>
      <w:sz w:val="28"/>
      <w:szCs w:val="2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13" w:customStyle="1">
    <w:name w:val="Стиль1"/>
    <w:basedOn w:val="a"/>
    <w:pPr>
      <w:spacing w:line="360" w:lineRule="auto"/>
      <w:ind w:firstLine="567"/>
      <w:jc w:val="both"/>
    </w:pPr>
    <w:rPr>
      <w:sz w:val="24"/>
      <w:szCs w:val="20"/>
    </w:rPr>
  </w:style>
  <w:style w:type="paragraph" w:styleId="ConsPlusNonformat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08E01-DF61-440D-B5CD-B8710BE7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2446</Characters>
  <CharactersWithSpaces>2870</CharactersWithSpaces>
  <Company>АГНОиПНО</Company>
  <DocSecurity>0</DocSecurity>
  <HyperlinksChanged>false</HyperlinksChanged>
  <Lines>20</Lines>
  <LinksUpToDate>false</LinksUpToDate>
  <Pages>2</Pages>
  <Paragraphs>5</Paragraphs>
  <ScaleCrop>false</ScaleCrop>
  <SharedDoc>false</SharedDoc>
  <Template>Normal</Template>
  <TotalTime>1</TotalTime>
  <Words>429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Попова Светлана Николаевна</cp:lastModifiedBy>
  <cp:revision>46</cp:revision>
  <dcterms:created xsi:type="dcterms:W3CDTF">2024-09-24T06:29:00Z</dcterms:created>
  <dcterms:modified xsi:type="dcterms:W3CDTF">2024-10-30T10:14:00Z</dcterms:modified>
</cp:coreProperties>
</file>