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right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Проект постановления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28</w:t>
      </w:r>
      <w:r>
        <w:rPr>
          <w:sz w:val="28"/>
          <w:szCs w:val="28"/>
        </w:rPr>
        <w:t xml:space="preserve">.09.2021 № 382-п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</w:t>
      </w:r>
      <w:r>
        <w:rPr>
          <w:bCs/>
          <w:sz w:val="28"/>
          <w:szCs w:val="28"/>
        </w:rPr>
        <w:t xml:space="preserve">от 28</w:t>
      </w:r>
      <w:r>
        <w:rPr>
          <w:sz w:val="28"/>
          <w:szCs w:val="28"/>
        </w:rPr>
        <w:t xml:space="preserve">.09.2021 № 382-п «О региональном государственном надзоре в области защиты населения и территорий от чрезвычайных ситуаций в Новосибирской области»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региона</w:t>
      </w:r>
      <w:r>
        <w:rPr>
          <w:sz w:val="28"/>
          <w:szCs w:val="28"/>
        </w:rPr>
        <w:t xml:space="preserve">льном государственном надзоре в области защиты населения и территорий от чрезвычайных ситуаций в 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 Дополнить пункт 9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осуществлять выдачу контролируемым лицам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еобоснованных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икновения таких нарушений (далее также - предписания об устранении выявленных нарушений обязательных требований)».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 Абзац 2 в пункте 11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еречень объектов контроля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ведется в Едином реестре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Перечень объектов контроля размещается на официальном сайте контрольного (надзорного) органа посредством публикации части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официального сайта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Единого реестра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сети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Интернет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для отображения соответствующего перечня объектов контроля (виджет) на официальном сайте контрольн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ого (надзорного) органа в сети «Интернет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 Пункт 12 признать утратившим силу.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 Абзац первый пункта 32 после слов «Контролируемое лицо» дополнить словами «</w:t>
      </w:r>
      <w:r>
        <w:rPr>
          <w:sz w:val="28"/>
          <w:szCs w:val="28"/>
          <w:highlight w:val="none"/>
        </w:rPr>
        <w:t xml:space="preserve">, в том числе с использованием единого портала государственных и муниципальных услуг (функций),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 Пункт 22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</w:t>
      </w:r>
      <w:r>
        <w:rPr>
          <w:sz w:val="28"/>
          <w:szCs w:val="28"/>
          <w:highlight w:val="none"/>
        </w:rPr>
        <w:t xml:space="preserve">ия вреда (ущерба).</w:t>
      </w:r>
      <w:r>
        <w:rPr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6. 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ополнить пунктом 148.1 следующего содержания: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«148.1. </w:t>
      </w:r>
      <w:r>
        <w:rPr>
          <w:sz w:val="28"/>
          <w:szCs w:val="28"/>
        </w:rPr>
        <w:t xml:space="preserve">Надзорный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</w:t>
      </w:r>
      <w:r>
        <w:rPr>
          <w:sz w:val="28"/>
          <w:szCs w:val="28"/>
        </w:rPr>
        <w:t xml:space="preserve">надзорных мероприятий на достижение ключевых показателей, а также подготовку предложений по результатам обобщения правоприменительной практики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7. В пункте 149: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подпункты 1, 2, 3 после слов «надзорных мероприятий» добавить словами «</w:t>
      </w:r>
      <w:r>
        <w:rPr>
          <w:sz w:val="28"/>
          <w:szCs w:val="28"/>
          <w:highlight w:val="none"/>
        </w:rPr>
        <w:t xml:space="preserve">и обязательных профилактических визитов»;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дополнить пунктом 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«4) </w:t>
      </w:r>
      <w:r>
        <w:rPr>
          <w:sz w:val="28"/>
          <w:szCs w:val="28"/>
          <w:highlight w:val="none"/>
        </w:rPr>
        <w:t xml:space="preserve">решений об отнесении объектов контроля к соответствующей категории риска;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дополнить пунктом 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решений об отказе в проведении обязательных профилактических визитов по заявлениям контролируемых лиц;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 дополнить пунктом 6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иных решений, принимаемых надзорным органом по итогам профилактических и (или) контрольных (надзорных) мероприятий, предусмотренных </w:t>
      </w:r>
      <w:r>
        <w:rPr>
          <w:sz w:val="28"/>
          <w:szCs w:val="28"/>
          <w:highlight w:val="none"/>
        </w:rPr>
        <w:t xml:space="preserve">Федеральным законом № 248-ФЗ</w:t>
      </w:r>
      <w:r>
        <w:rPr>
          <w:sz w:val="28"/>
          <w:szCs w:val="28"/>
          <w:highlight w:val="none"/>
        </w:rPr>
        <w:t xml:space="preserve">, в отношении контролируемых лиц или объектов контроля.».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8. Абзац 2 пункта 157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 В пункте 81: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абзац 1 после слов «надзорным органом» дополнить словами «</w:t>
      </w:r>
      <w:r>
        <w:rPr>
          <w:sz w:val="28"/>
          <w:szCs w:val="28"/>
          <w:highlight w:val="none"/>
        </w:rPr>
        <w:t xml:space="preserve">и подлежащего согласованию с органами прокуратуры</w:t>
      </w:r>
      <w:r>
        <w:rPr>
          <w:sz w:val="28"/>
          <w:szCs w:val="28"/>
          <w:highlight w:val="none"/>
        </w:rPr>
        <w:t xml:space="preserve">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абзац 2 пункта 81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10. пункт 92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равительство Российской Федерации по согласованию с Генеральной прокуратурой Российской Федерации вправе определить случаи и (или) виды контроля, при осуществлении которых проведение контрольных (надзорных) мероприятий с использованием мобильного приложени</w:t>
      </w:r>
      <w:r>
        <w:rPr>
          <w:sz w:val="28"/>
          <w:szCs w:val="28"/>
          <w:highlight w:val="none"/>
        </w:rPr>
        <w:t xml:space="preserve">я "Инспектор" не требует согласования с органами прокуратуры</w:t>
      </w:r>
      <w:r>
        <w:rPr>
          <w:sz w:val="28"/>
          <w:szCs w:val="28"/>
          <w:highlight w:val="none"/>
        </w:rPr>
        <w:t xml:space="preserve">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Е.Г. Назаров</w:t>
      </w: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238 61 56                                                                          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  <w:rPr>
      <w:sz w:val="24"/>
      <w:szCs w:val="24"/>
      <w:lang w:eastAsia="ru-RU"/>
    </w:rPr>
  </w:style>
  <w:style w:type="paragraph" w:styleId="679">
    <w:name w:val="Heading 1"/>
    <w:basedOn w:val="678"/>
    <w:next w:val="678"/>
    <w:link w:val="708"/>
    <w:qFormat/>
    <w:pPr>
      <w:jc w:val="center"/>
      <w:keepNext/>
      <w:shd w:val="clear" w:color="auto" w:fill="ffffff"/>
      <w:outlineLvl w:val="0"/>
    </w:pPr>
    <w:rPr>
      <w:bCs/>
      <w:sz w:val="28"/>
      <w:szCs w:val="28"/>
    </w:rPr>
  </w:style>
  <w:style w:type="paragraph" w:styleId="680">
    <w:name w:val="Heading 2"/>
    <w:basedOn w:val="678"/>
    <w:next w:val="678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1">
    <w:name w:val="Heading 3"/>
    <w:basedOn w:val="678"/>
    <w:next w:val="678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8"/>
    <w:next w:val="678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4">
    <w:name w:val="Heading 6"/>
    <w:basedOn w:val="678"/>
    <w:next w:val="678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678"/>
    <w:next w:val="678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678"/>
    <w:next w:val="6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678"/>
    <w:next w:val="678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1 Char"/>
    <w:basedOn w:val="688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Heading 2 Char"/>
    <w:basedOn w:val="688"/>
    <w:uiPriority w:val="9"/>
    <w:rPr>
      <w:rFonts w:ascii="Arial" w:hAnsi="Arial" w:eastAsia="Arial" w:cs="Arial"/>
      <w:sz w:val="34"/>
    </w:rPr>
  </w:style>
  <w:style w:type="character" w:styleId="693" w:customStyle="1">
    <w:name w:val="Heading 3 Char"/>
    <w:basedOn w:val="688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basedOn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basedOn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6 Char"/>
    <w:basedOn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Heading 7 Char"/>
    <w:basedOn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8 Char"/>
    <w:basedOn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9 Char"/>
    <w:basedOn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basedOn w:val="688"/>
    <w:uiPriority w:val="10"/>
    <w:rPr>
      <w:sz w:val="48"/>
      <w:szCs w:val="48"/>
    </w:rPr>
  </w:style>
  <w:style w:type="character" w:styleId="701" w:customStyle="1">
    <w:name w:val="Subtitle Char"/>
    <w:basedOn w:val="688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Header Char"/>
    <w:basedOn w:val="688"/>
    <w:uiPriority w:val="99"/>
  </w:style>
  <w:style w:type="character" w:styleId="705" w:customStyle="1">
    <w:name w:val="Caption Char"/>
    <w:uiPriority w:val="99"/>
  </w:style>
  <w:style w:type="character" w:styleId="706" w:customStyle="1">
    <w:name w:val="Footnote Text Char"/>
    <w:uiPriority w:val="99"/>
    <w:rPr>
      <w:sz w:val="18"/>
    </w:rPr>
  </w:style>
  <w:style w:type="character" w:styleId="707" w:customStyle="1">
    <w:name w:val="Endnote Text Char"/>
    <w:uiPriority w:val="99"/>
    <w:rPr>
      <w:sz w:val="20"/>
    </w:rPr>
  </w:style>
  <w:style w:type="character" w:styleId="708" w:customStyle="1">
    <w:name w:val="Заголовок 1 Знак"/>
    <w:link w:val="679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link w:val="680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link w:val="681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678"/>
    <w:uiPriority w:val="34"/>
    <w:qFormat/>
    <w:pPr>
      <w:contextualSpacing/>
      <w:ind w:left="720"/>
    </w:pPr>
  </w:style>
  <w:style w:type="paragraph" w:styleId="718">
    <w:name w:val="No Spacing"/>
    <w:uiPriority w:val="1"/>
    <w:qFormat/>
  </w:style>
  <w:style w:type="paragraph" w:styleId="719">
    <w:name w:val="Title"/>
    <w:basedOn w:val="678"/>
    <w:next w:val="678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 w:customStyle="1">
    <w:name w:val="Название Знак"/>
    <w:link w:val="719"/>
    <w:uiPriority w:val="10"/>
    <w:rPr>
      <w:sz w:val="48"/>
      <w:szCs w:val="48"/>
    </w:rPr>
  </w:style>
  <w:style w:type="paragraph" w:styleId="721">
    <w:name w:val="Subtitle"/>
    <w:basedOn w:val="678"/>
    <w:next w:val="678"/>
    <w:link w:val="722"/>
    <w:uiPriority w:val="11"/>
    <w:qFormat/>
    <w:pPr>
      <w:spacing w:before="200" w:after="200"/>
    </w:pPr>
  </w:style>
  <w:style w:type="character" w:styleId="722" w:customStyle="1">
    <w:name w:val="Подзаголовок Знак"/>
    <w:link w:val="721"/>
    <w:uiPriority w:val="11"/>
    <w:rPr>
      <w:sz w:val="24"/>
      <w:szCs w:val="24"/>
    </w:rPr>
  </w:style>
  <w:style w:type="paragraph" w:styleId="723">
    <w:name w:val="Quote"/>
    <w:basedOn w:val="678"/>
    <w:next w:val="678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78"/>
    <w:next w:val="678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paragraph" w:styleId="727">
    <w:name w:val="Header"/>
    <w:basedOn w:val="678"/>
    <w:link w:val="728"/>
    <w:pPr>
      <w:tabs>
        <w:tab w:val="center" w:pos="4677" w:leader="none"/>
        <w:tab w:val="right" w:pos="9355" w:leader="none"/>
      </w:tabs>
    </w:pPr>
  </w:style>
  <w:style w:type="character" w:styleId="728" w:customStyle="1">
    <w:name w:val="Верхний колонтитул Знак"/>
    <w:link w:val="727"/>
    <w:uiPriority w:val="99"/>
  </w:style>
  <w:style w:type="paragraph" w:styleId="729">
    <w:name w:val="Footer"/>
    <w:basedOn w:val="678"/>
    <w:link w:val="732"/>
    <w:pPr>
      <w:tabs>
        <w:tab w:val="center" w:pos="4677" w:leader="none"/>
        <w:tab w:val="right" w:pos="9355" w:leader="none"/>
      </w:tabs>
    </w:pPr>
  </w:style>
  <w:style w:type="character" w:styleId="730" w:customStyle="1">
    <w:name w:val="Footer Char"/>
    <w:uiPriority w:val="99"/>
  </w:style>
  <w:style w:type="paragraph" w:styleId="731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 w:customStyle="1">
    <w:name w:val="Нижний колонтитул Знак"/>
    <w:link w:val="729"/>
    <w:uiPriority w:val="99"/>
  </w:style>
  <w:style w:type="table" w:styleId="733">
    <w:name w:val="Table Grid"/>
    <w:basedOn w:val="689"/>
    <w:tblPr/>
  </w:style>
  <w:style w:type="table" w:styleId="73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 w:themeColor="hyperlink"/>
      <w:u w:val="single"/>
    </w:rPr>
  </w:style>
  <w:style w:type="paragraph" w:styleId="860">
    <w:name w:val="footnote text"/>
    <w:basedOn w:val="678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678"/>
    <w:link w:val="864"/>
    <w:uiPriority w:val="99"/>
    <w:semiHidden/>
    <w:unhideWhenUsed/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678"/>
    <w:next w:val="678"/>
    <w:uiPriority w:val="39"/>
    <w:unhideWhenUsed/>
    <w:pPr>
      <w:spacing w:after="57"/>
    </w:pPr>
  </w:style>
  <w:style w:type="paragraph" w:styleId="867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868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869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870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871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872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873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874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78"/>
    <w:next w:val="678"/>
    <w:uiPriority w:val="99"/>
    <w:unhideWhenUsed/>
  </w:style>
  <w:style w:type="character" w:styleId="877">
    <w:name w:val="page number"/>
    <w:basedOn w:val="688"/>
  </w:style>
  <w:style w:type="paragraph" w:styleId="878" w:customStyle="1">
    <w:name w:val="Знак Знак1 Знак"/>
    <w:basedOn w:val="678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79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80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ru-RU"/>
    </w:rPr>
  </w:style>
  <w:style w:type="paragraph" w:styleId="881" w:customStyle="1">
    <w:name w:val="ConsNormal"/>
    <w:pPr>
      <w:ind w:right="19772" w:firstLine="720"/>
      <w:widowControl w:val="off"/>
    </w:pPr>
    <w:rPr>
      <w:rFonts w:ascii="Arial" w:hAnsi="Arial" w:cs="Arial"/>
      <w:lang w:eastAsia="ru-RU"/>
    </w:rPr>
  </w:style>
  <w:style w:type="paragraph" w:styleId="882">
    <w:name w:val="Balloon Text"/>
    <w:basedOn w:val="678"/>
    <w:semiHidden/>
    <w:rPr>
      <w:rFonts w:ascii="Tahoma" w:hAnsi="Tahoma" w:cs="Tahoma"/>
      <w:sz w:val="16"/>
      <w:szCs w:val="16"/>
    </w:rPr>
  </w:style>
  <w:style w:type="character" w:styleId="883">
    <w:name w:val="annotation reference"/>
    <w:rPr>
      <w:sz w:val="16"/>
      <w:szCs w:val="16"/>
    </w:rPr>
  </w:style>
  <w:style w:type="paragraph" w:styleId="884">
    <w:name w:val="annotation text"/>
    <w:basedOn w:val="678"/>
    <w:link w:val="885"/>
    <w:rPr>
      <w:sz w:val="20"/>
      <w:szCs w:val="20"/>
    </w:rPr>
  </w:style>
  <w:style w:type="character" w:styleId="885" w:customStyle="1">
    <w:name w:val="Текст примечания Знак"/>
    <w:basedOn w:val="688"/>
    <w:link w:val="884"/>
  </w:style>
  <w:style w:type="paragraph" w:styleId="886">
    <w:name w:val="annotation subject"/>
    <w:basedOn w:val="884"/>
    <w:next w:val="884"/>
    <w:link w:val="887"/>
    <w:rPr>
      <w:b/>
      <w:bCs/>
    </w:rPr>
  </w:style>
  <w:style w:type="character" w:styleId="887" w:customStyle="1">
    <w:name w:val="Тема примечания Знак"/>
    <w:link w:val="886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ugochs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</dc:title>
  <dc:creator>GO</dc:creator>
  <cp:revision>7</cp:revision>
  <dcterms:created xsi:type="dcterms:W3CDTF">2023-11-08T05:24:00Z</dcterms:created>
  <dcterms:modified xsi:type="dcterms:W3CDTF">2025-02-28T09:21:14Z</dcterms:modified>
  <cp:version>1048576</cp:version>
</cp:coreProperties>
</file>