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jc w:val="right"/>
        <w:tabs>
          <w:tab w:val="left" w:pos="2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ind w:left="-284"/>
        <w:jc w:val="right"/>
        <w:tabs>
          <w:tab w:val="left" w:pos="2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</w:p>
    <w:p>
      <w:pPr>
        <w:ind w:left="-284"/>
        <w:jc w:val="right"/>
        <w:tabs>
          <w:tab w:val="left" w:pos="2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pStyle w:val="933"/>
        <w:ind w:left="-28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3"/>
        <w:ind w:left="-28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3"/>
        <w:ind w:left="-28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3"/>
        <w:ind w:left="-28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3"/>
        <w:ind w:left="-28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3"/>
        <w:ind w:left="-28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3"/>
        <w:ind w:left="-28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области от 30.12.2013 № 596-п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93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 с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а н о в л я е 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Внести в постановление Правительства Новосибирской области от 30.12.2013 № 596-п «О возложении полномочий на государственное казенное учреждение Новосибирской области «Управление контрактной системы»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1) в пункте 1:</w:t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а) слова «запросов котировок в электронной форме.» заменить словами «</w:t>
      </w:r>
      <w:r>
        <w:rPr>
          <w:sz w:val="28"/>
          <w:szCs w:val="28"/>
        </w:rPr>
        <w:t xml:space="preserve">запросов котировок в электронной форме</w:t>
      </w:r>
      <w:r>
        <w:rPr>
          <w:sz w:val="28"/>
          <w:szCs w:val="28"/>
        </w:rPr>
        <w:t xml:space="preserve">, за исключением случаев:»;</w:t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б) дополнить </w:t>
      </w:r>
      <w:r>
        <w:rPr>
          <w:sz w:val="28"/>
          <w:szCs w:val="28"/>
        </w:rPr>
        <w:t xml:space="preserve">подпунктами 1-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«</w:t>
      </w:r>
      <w:r>
        <w:rPr>
          <w:sz w:val="28"/>
        </w:rPr>
        <w:t xml:space="preserve">1) определения поставщиков (подрядчиков, исполнителей) путем проведения запросов котировок в электронной форме:</w:t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а) при условии, что начальная (максимальная) цена контракта не превышает трех миллионов рублей;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б) в случаях, предусмотренных </w:t>
      </w:r>
      <w:hyperlink r:id="rId15" w:tooltip="https://login.consultant.ru/link/?req=doc&amp;base=LAW&amp;n=483131&amp;dst=2125" w:history="1">
        <w:r>
          <w:rPr>
            <w:sz w:val="28"/>
          </w:rPr>
          <w:t xml:space="preserve">пунктом 2 части 10 статьи 24</w:t>
        </w:r>
      </w:hyperlink>
      <w:r>
        <w:rPr>
          <w:sz w:val="28"/>
        </w:rPr>
        <w:t xml:space="preserve"> Закона о контрактной системе;</w:t>
      </w:r>
      <w:r>
        <w:rPr>
          <w:sz w:val="28"/>
          <w:szCs w:val="28"/>
        </w:rPr>
      </w:r>
    </w:p>
    <w:p>
      <w:pPr>
        <w:pStyle w:val="938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2)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закупк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 услуг по предоставлению Новосибирской области кредитных ресурсов;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</w:r>
    </w:p>
    <w:p>
      <w:pPr>
        <w:pStyle w:val="93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принятия государственным органом Новосибирской области, органом управления государственного внебюджетного фонда Новосибирской области решения о самостоятельном определении поставщиков (подрядчиков, исполнителей) путем проведения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lang w:val="ru-RU"/>
        </w:rPr>
        <w:t xml:space="preserve">открытых конкурсов в электронной форме, открытых аукционов в электронной форме, запросов котировок в электронной форме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val="ru-RU"/>
        </w:rPr>
        <w:t xml:space="preserve"> при условии, что начальная (м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аксимальная) цена контракта не превышает шестисот тысяч рублей;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3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принятия областным исполнительным органом Новосибирской области в отношении себя, своих территориальных органов, а также подведомственных учреждений решения о самостоятельном определении поставщиков (подрядчиков, исполнителей) путем проведения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lang w:val="ru-RU"/>
        </w:rPr>
        <w:t xml:space="preserve">открытых конкурсов в электронной форме, открытых аукционов в электронной форме, запросов котировок в электронной форме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 при условии, что начальная (максимальная) цена контракта не превышает шестисот тысяч рублей;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38"/>
        <w:ind w:firstLine="720"/>
        <w:jc w:val="both"/>
        <w:rPr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принятия министерством здравоохранения Новосибирской области в отношении себя, подведомственных учреждений решения (приказа министерства здравоохранения Новосибирской области) о самостоятельном определении поставщиков (подрядчиков, исполнител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ей) путем проведения открытого конкурса в электронной форме, открытого аукциона в электронной форме, запроса котировок в электронной форме при осуществлении закупок лекарственных и диагностических средств (препаратов), реактивов (реагентов), медицинских из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делий, продуктов питания, в том числе продуктов лечебного питания, при условии, что начальная (максимальная) цена контракта не превышает трех миллионов рублей, на выполнение работ по капитальному ремонту объектов капитального строительства и их частей при 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условии, что начальная (максимальная) цена контракта не превышает десяти миллионов рублей, на выполнение работ по текущему ремонту объектов капитального строительства и их частей при условии, что начальная (максимальная) цена контракта не превышает пяти ми</w:t>
      </w:r>
      <w:r>
        <w:rPr>
          <w:rFonts w:ascii="Times New Roman" w:hAnsi="Times New Roman" w:eastAsia="Times New Roman" w:cs="Times New Roman"/>
          <w:sz w:val="28"/>
          <w:lang w:val="ru-RU"/>
        </w:rPr>
        <w:t xml:space="preserve">ллионов рублей, на оказание услуг по архитектурно-строительному проектированию для обеспечения капитального ремонта объектов капитального строительства и их частей при условии, что начальная (максимальная) цена контракта не превышает трех миллионов рублей.</w:t>
      </w:r>
      <w:r>
        <w:rPr>
          <w:sz w:val="28"/>
          <w:szCs w:val="28"/>
          <w:lang w:val="ru-RU"/>
        </w:rPr>
        <w:t xml:space="preserve">»;</w:t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в Порядке взаимодействия заказчиков Новосибирской области с уполномоченным учреждением в сфере закупок товаров, работ, услуг для обеспечения государственных нужд Новосибирской области:</w:t>
      </w:r>
      <w:r>
        <w:rPr>
          <w:sz w:val="28"/>
          <w:szCs w:val="28"/>
        </w:rPr>
      </w:r>
    </w:p>
    <w:p>
      <w:pPr>
        <w:ind w:right="-2" w:firstLine="709"/>
        <w:jc w:val="both"/>
        <w:spacing w:after="1" w:line="280" w:lineRule="atLeas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в пункте 2:</w:t>
      </w:r>
      <w:r>
        <w:rPr>
          <w:color w:val="000000" w:themeColor="text1"/>
          <w:sz w:val="28"/>
          <w:szCs w:val="28"/>
        </w:rPr>
      </w:r>
    </w:p>
    <w:p>
      <w:pPr>
        <w:ind w:right="-2" w:firstLine="709"/>
        <w:jc w:val="both"/>
        <w:spacing w:after="1" w:line="28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абзаце первом слова «государственных» исключить;</w:t>
      </w:r>
      <w:r>
        <w:rPr>
          <w:color w:val="000000" w:themeColor="text1"/>
          <w:sz w:val="28"/>
          <w:szCs w:val="28"/>
        </w:rPr>
      </w:r>
    </w:p>
    <w:p>
      <w:pPr>
        <w:ind w:right="-2" w:firstLine="709"/>
        <w:jc w:val="both"/>
        <w:spacing w:after="1" w:line="280" w:lineRule="atLeas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абзаце седьмом слова: «(далее – заказчики), за исключением следующих случаев:»</w:t>
      </w:r>
      <w:r>
        <w:rPr>
          <w:sz w:val="28"/>
          <w:szCs w:val="28"/>
        </w:rPr>
        <w:t xml:space="preserve"> исключить;</w:t>
      </w:r>
      <w:r>
        <w:rPr>
          <w:sz w:val="28"/>
          <w:szCs w:val="28"/>
        </w:rPr>
      </w:r>
    </w:p>
    <w:p>
      <w:pPr>
        <w:ind w:right="-2" w:firstLine="709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подпункты 1-7 признать утратившими силу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2" w:firstLine="709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б)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 9:</w:t>
      </w:r>
      <w:r>
        <w:rPr>
          <w:sz w:val="28"/>
          <w:szCs w:val="28"/>
        </w:rPr>
      </w:r>
    </w:p>
    <w:p>
      <w:pPr>
        <w:ind w:right="-2" w:firstLine="709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подпункте 10.2 слова «до размещения зак</w:t>
      </w:r>
      <w:r>
        <w:rPr>
          <w:sz w:val="28"/>
          <w:szCs w:val="28"/>
        </w:rPr>
        <w:t xml:space="preserve">азчиком в единой информационной системе (без размещения на официальном сайте) и на электронной площадке (с использованием единой информационной системы) без своей подписи проекта контракта в сроки, предусмотренные Законом о контрактной системе» исключить; </w:t>
      </w:r>
      <w:r>
        <w:rPr>
          <w:sz w:val="28"/>
          <w:szCs w:val="28"/>
        </w:rPr>
      </w:r>
    </w:p>
    <w:p>
      <w:pPr>
        <w:ind w:right="-2" w:firstLine="709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подпункт 11 после слов «размещением отказа от заключения контракта с» дополнить словами «участником закупки,»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2" w:firstLine="709"/>
        <w:jc w:val="both"/>
        <w:spacing w:after="1" w:line="28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абзаце первом пункта 11 слова «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за исключением случаев, предусмотренных </w:t>
      </w:r>
      <w:r>
        <w:rPr>
          <w:color w:val="000000" w:themeColor="text1"/>
          <w:sz w:val="28"/>
          <w:szCs w:val="28"/>
        </w:rPr>
        <w:t xml:space="preserve">частями 9 и 10 статьи 31 Закона о контрактной системе» </w:t>
      </w:r>
      <w:r>
        <w:rPr>
          <w:color w:val="000000" w:themeColor="text1"/>
          <w:sz w:val="28"/>
          <w:szCs w:val="28"/>
        </w:rPr>
        <w:t xml:space="preserve">исключить.</w:t>
      </w:r>
      <w:r>
        <w:rPr>
          <w:color w:val="000000" w:themeColor="text1"/>
          <w:sz w:val="28"/>
          <w:szCs w:val="28"/>
        </w:rPr>
      </w:r>
    </w:p>
    <w:p>
      <w:pPr>
        <w:ind w:right="-2" w:firstLine="709"/>
        <w:jc w:val="both"/>
        <w:spacing w:after="1" w:line="280" w:lineRule="atLeas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Абзац «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» п</w:t>
      </w:r>
      <w:r>
        <w:rPr>
          <w:sz w:val="28"/>
          <w:szCs w:val="28"/>
        </w:rPr>
        <w:t xml:space="preserve">одпункт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н</w:t>
      </w:r>
      <w:r>
        <w:rPr>
          <w:sz w:val="28"/>
          <w:szCs w:val="28"/>
        </w:rPr>
        <w:t xml:space="preserve">астояще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вступает в силу с 01.01.2026.</w:t>
      </w:r>
      <w:r>
        <w:rPr>
          <w:color w:val="000000" w:themeColor="text1"/>
          <w:sz w:val="28"/>
          <w:szCs w:val="28"/>
        </w:rPr>
      </w:r>
    </w:p>
    <w:p>
      <w:pPr>
        <w:ind w:right="-2"/>
        <w:jc w:val="both"/>
        <w:spacing w:after="1" w:line="280" w:lineRule="atLeas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right="-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right="-2"/>
        <w:rPr>
          <w:sz w:val="28"/>
        </w:rPr>
      </w:pPr>
      <w:r/>
      <w:bookmarkStart w:id="0" w:name="_GoBack"/>
      <w:r/>
      <w:bookmarkEnd w:id="0"/>
      <w:r/>
      <w:r>
        <w:rPr>
          <w:sz w:val="28"/>
        </w:rPr>
      </w: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</w:p>
    <w:p>
      <w:pPr>
        <w:ind w:right="-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2"/>
        <w:rPr>
          <w:sz w:val="20"/>
          <w:szCs w:val="20"/>
        </w:rPr>
      </w:pPr>
      <w:r>
        <w:rPr>
          <w:sz w:val="20"/>
          <w:szCs w:val="20"/>
        </w:rPr>
        <w:t xml:space="preserve">С.Л. Шарпф</w:t>
      </w:r>
      <w:r>
        <w:rPr>
          <w:sz w:val="20"/>
          <w:szCs w:val="20"/>
        </w:rPr>
      </w:r>
    </w:p>
    <w:p>
      <w:pPr>
        <w:ind w:right="-2"/>
        <w:rPr>
          <w:sz w:val="20"/>
          <w:szCs w:val="20"/>
        </w:rPr>
      </w:pPr>
      <w:r>
        <w:rPr>
          <w:sz w:val="20"/>
          <w:szCs w:val="20"/>
        </w:rPr>
        <w:t xml:space="preserve">2386384</w:t>
      </w: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34"/>
        <w:tblW w:w="31448" w:type="dxa"/>
        <w:tblInd w:w="-2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1448"/>
      </w:tblGrid>
      <w:tr>
        <w:tblPrEx/>
        <w:trPr>
          <w:trHeight w:val="10361"/>
        </w:trPr>
        <w:tc>
          <w:tcPr>
            <w:tcW w:w="31164" w:type="dxa"/>
            <w:textDirection w:val="lrTb"/>
            <w:noWrap w:val="false"/>
          </w:tcPr>
          <w:tbl>
            <w:tblPr>
              <w:tblStyle w:val="934"/>
              <w:tblW w:w="10068" w:type="dxa"/>
              <w:tblInd w:w="3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ook w:val="04A0" w:firstRow="1" w:lastRow="0" w:firstColumn="1" w:lastColumn="0" w:noHBand="0" w:noVBand="1"/>
            </w:tblPr>
            <w:tblGrid>
              <w:gridCol w:w="5493"/>
              <w:gridCol w:w="1116"/>
              <w:gridCol w:w="3317"/>
              <w:gridCol w:w="142"/>
            </w:tblGrid>
            <w:tr>
              <w:tblPrEx/>
              <w:trPr/>
              <w:tc>
                <w:tcPr>
                  <w:tcW w:w="5493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Первый заместитель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Председателя Правительства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Новосибирской области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1116" w:type="dxa"/>
                  <w:textDirection w:val="lrTb"/>
                  <w:noWrap w:val="false"/>
                </w:tcPr>
                <w:p>
                  <w:pPr>
                    <w:ind w:left="-55" w:firstLine="55"/>
                    <w:jc w:val="both"/>
                    <w:rPr>
                      <w:rFonts w:cstheme="minorBid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cstheme="minorBidi"/>
                      <w:sz w:val="28"/>
                      <w:szCs w:val="28"/>
                      <w:lang w:eastAsia="en-US"/>
                    </w:rPr>
                  </w:r>
                  <w:r>
                    <w:rPr>
                      <w:rFonts w:cstheme="minorBid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gridSpan w:val="2"/>
                  <w:tcW w:w="3459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В.М. 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Знатков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«___»________2025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tcW w:w="5493" w:type="dxa"/>
                  <w:textDirection w:val="lrTb"/>
                  <w:noWrap w:val="false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Министр юстиции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Новосибирской области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1116" w:type="dxa"/>
                  <w:textDirection w:val="lrTb"/>
                  <w:noWrap w:val="false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gridSpan w:val="2"/>
                  <w:tcW w:w="3459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Т.Н. 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Деркач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«___»________2025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blPrEx/>
              <w:trPr>
                <w:gridAfter w:val="1"/>
                <w:trHeight w:val="322"/>
              </w:trPr>
              <w:tc>
                <w:tcPr>
                  <w:tcW w:w="5493" w:type="dxa"/>
                  <w:textDirection w:val="lrTb"/>
                  <w:noWrap w:val="false"/>
                </w:tcPr>
                <w:p>
                  <w:pPr>
                    <w:ind w:left="-11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 контрольного управления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Новосибирской области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1116" w:type="dxa"/>
                  <w:textDirection w:val="lrTb"/>
                  <w:noWrap w:val="false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17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С.Л. Шарпф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«___»________2025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tcW w:w="5493" w:type="dxa"/>
                  <w:textDirection w:val="lrTb"/>
                  <w:noWrap w:val="false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Директор государственного казенного учреждения Новосибирской области «Управление контрактной системы»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1116" w:type="dxa"/>
                  <w:textDirection w:val="lrTb"/>
                  <w:noWrap w:val="false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17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А.Ю. Литвинов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«___»________2025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blPrEx/>
              <w:trPr/>
              <w:tc>
                <w:tcPr>
                  <w:tcW w:w="5493" w:type="dxa"/>
                  <w:textDirection w:val="lrTb"/>
                  <w:noWrap w:val="false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 отдела административного производства контрольного управления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Новосибирской области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1116" w:type="dxa"/>
                  <w:textDirection w:val="lrTb"/>
                  <w:noWrap w:val="false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gridSpan w:val="2"/>
                  <w:tcW w:w="3459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Н.В. Грачева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«___»________2025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</w:tbl>
          <w:p>
            <w:pP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r>
          </w:p>
          <w:p>
            <w:r/>
            <w:r/>
          </w:p>
        </w:tc>
      </w:tr>
    </w:tbl>
    <w:p>
      <w:pPr>
        <w:ind w:right="-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993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30148462"/>
      <w:docPartObj>
        <w:docPartGallery w:val="Page Numbers (Top of Page)"/>
        <w:docPartUnique w:val="true"/>
      </w:docPartObj>
      <w:rPr/>
    </w:sdtPr>
    <w:sdtContent>
      <w:p>
        <w:pPr>
          <w:pStyle w:val="78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7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eastAsia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 w:eastAsia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6">
    <w:name w:val="Heading 1"/>
    <w:basedOn w:val="735"/>
    <w:next w:val="735"/>
    <w:link w:val="7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735"/>
    <w:next w:val="735"/>
    <w:link w:val="7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7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735"/>
    <w:next w:val="735"/>
    <w:link w:val="7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1">
    <w:name w:val="Heading 6"/>
    <w:basedOn w:val="735"/>
    <w:next w:val="735"/>
    <w:link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735"/>
    <w:next w:val="735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735"/>
    <w:next w:val="735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735"/>
    <w:next w:val="735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Heading 1 Char"/>
    <w:basedOn w:val="745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basedOn w:val="745"/>
    <w:uiPriority w:val="9"/>
    <w:rPr>
      <w:rFonts w:ascii="Arial" w:hAnsi="Arial" w:eastAsia="Arial" w:cs="Arial"/>
      <w:sz w:val="34"/>
    </w:rPr>
  </w:style>
  <w:style w:type="character" w:styleId="750" w:customStyle="1">
    <w:name w:val="Heading 3 Char"/>
    <w:basedOn w:val="745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Heading 4 Char"/>
    <w:basedOn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5 Char"/>
    <w:basedOn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Heading 6 Char"/>
    <w:basedOn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Heading 7 Char"/>
    <w:basedOn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Heading 8 Char"/>
    <w:basedOn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Heading 9 Char"/>
    <w:basedOn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Title Char"/>
    <w:basedOn w:val="745"/>
    <w:uiPriority w:val="10"/>
    <w:rPr>
      <w:sz w:val="48"/>
      <w:szCs w:val="48"/>
    </w:rPr>
  </w:style>
  <w:style w:type="character" w:styleId="758" w:customStyle="1">
    <w:name w:val="Subtitle Char"/>
    <w:basedOn w:val="745"/>
    <w:uiPriority w:val="11"/>
    <w:rPr>
      <w:sz w:val="24"/>
      <w:szCs w:val="24"/>
    </w:rPr>
  </w:style>
  <w:style w:type="character" w:styleId="759" w:customStyle="1">
    <w:name w:val="Quote Char"/>
    <w:uiPriority w:val="29"/>
    <w:rPr>
      <w:i/>
    </w:rPr>
  </w:style>
  <w:style w:type="character" w:styleId="760" w:customStyle="1">
    <w:name w:val="Intense Quote Char"/>
    <w:uiPriority w:val="30"/>
    <w:rPr>
      <w:i/>
    </w:rPr>
  </w:style>
  <w:style w:type="character" w:styleId="761" w:customStyle="1">
    <w:name w:val="Header Char"/>
    <w:basedOn w:val="745"/>
    <w:uiPriority w:val="99"/>
  </w:style>
  <w:style w:type="character" w:styleId="762" w:customStyle="1">
    <w:name w:val="Caption Char"/>
    <w:uiPriority w:val="99"/>
  </w:style>
  <w:style w:type="character" w:styleId="763" w:customStyle="1">
    <w:name w:val="Footnote Text Char"/>
    <w:uiPriority w:val="99"/>
    <w:rPr>
      <w:sz w:val="18"/>
    </w:rPr>
  </w:style>
  <w:style w:type="character" w:styleId="764" w:customStyle="1">
    <w:name w:val="Endnote Text Char"/>
    <w:uiPriority w:val="99"/>
    <w:rPr>
      <w:sz w:val="20"/>
    </w:rPr>
  </w:style>
  <w:style w:type="character" w:styleId="765" w:customStyle="1">
    <w:name w:val="Заголовок 1 Знак"/>
    <w:basedOn w:val="745"/>
    <w:link w:val="736"/>
    <w:uiPriority w:val="9"/>
    <w:rPr>
      <w:rFonts w:ascii="Arial" w:hAnsi="Arial" w:eastAsia="Arial" w:cs="Arial"/>
      <w:sz w:val="40"/>
      <w:szCs w:val="40"/>
    </w:rPr>
  </w:style>
  <w:style w:type="character" w:styleId="766" w:customStyle="1">
    <w:name w:val="Заголовок 2 Знак"/>
    <w:basedOn w:val="745"/>
    <w:link w:val="737"/>
    <w:uiPriority w:val="9"/>
    <w:rPr>
      <w:rFonts w:ascii="Arial" w:hAnsi="Arial" w:eastAsia="Arial" w:cs="Arial"/>
      <w:sz w:val="34"/>
    </w:rPr>
  </w:style>
  <w:style w:type="character" w:styleId="767" w:customStyle="1">
    <w:name w:val="Заголовок 3 Знак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768" w:customStyle="1">
    <w:name w:val="Заголовок 4 Знак"/>
    <w:basedOn w:val="745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Заголовок 5 Знак"/>
    <w:basedOn w:val="74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Заголовок 6 Знак"/>
    <w:basedOn w:val="74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Заголовок 7 Знак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Заголовок 8 Знак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Заголовок 9 Знак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No Spacing"/>
    <w:uiPriority w:val="1"/>
    <w:qFormat/>
    <w:pPr>
      <w:spacing w:after="0" w:line="240" w:lineRule="auto"/>
    </w:pPr>
  </w:style>
  <w:style w:type="paragraph" w:styleId="775">
    <w:name w:val="Title"/>
    <w:basedOn w:val="735"/>
    <w:next w:val="735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 w:customStyle="1">
    <w:name w:val="Заголовок Знак"/>
    <w:basedOn w:val="745"/>
    <w:link w:val="775"/>
    <w:uiPriority w:val="10"/>
    <w:rPr>
      <w:sz w:val="48"/>
      <w:szCs w:val="48"/>
    </w:rPr>
  </w:style>
  <w:style w:type="paragraph" w:styleId="777">
    <w:name w:val="Subtitle"/>
    <w:basedOn w:val="735"/>
    <w:next w:val="735"/>
    <w:link w:val="778"/>
    <w:uiPriority w:val="11"/>
    <w:qFormat/>
    <w:pPr>
      <w:spacing w:before="200" w:after="200"/>
    </w:pPr>
  </w:style>
  <w:style w:type="character" w:styleId="778" w:customStyle="1">
    <w:name w:val="Подзаголовок Знак"/>
    <w:basedOn w:val="745"/>
    <w:link w:val="777"/>
    <w:uiPriority w:val="11"/>
    <w:rPr>
      <w:sz w:val="24"/>
      <w:szCs w:val="24"/>
    </w:rPr>
  </w:style>
  <w:style w:type="paragraph" w:styleId="779">
    <w:name w:val="Quote"/>
    <w:basedOn w:val="735"/>
    <w:next w:val="735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35"/>
    <w:next w:val="735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paragraph" w:styleId="783">
    <w:name w:val="Header"/>
    <w:basedOn w:val="735"/>
    <w:link w:val="78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4" w:customStyle="1">
    <w:name w:val="Верхний колонтитул Знак"/>
    <w:basedOn w:val="745"/>
    <w:link w:val="783"/>
    <w:uiPriority w:val="99"/>
  </w:style>
  <w:style w:type="paragraph" w:styleId="785">
    <w:name w:val="Footer"/>
    <w:basedOn w:val="735"/>
    <w:link w:val="7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6" w:customStyle="1">
    <w:name w:val="Footer Char"/>
    <w:basedOn w:val="745"/>
    <w:uiPriority w:val="99"/>
  </w:style>
  <w:style w:type="paragraph" w:styleId="787">
    <w:name w:val="Caption"/>
    <w:basedOn w:val="735"/>
    <w:next w:val="73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8" w:customStyle="1">
    <w:name w:val="Нижний колонтитул Знак"/>
    <w:link w:val="785"/>
    <w:uiPriority w:val="99"/>
  </w:style>
  <w:style w:type="table" w:styleId="789" w:customStyle="1">
    <w:name w:val="Table Grid Light"/>
    <w:basedOn w:val="7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>
    <w:name w:val="Plain Table 1"/>
    <w:basedOn w:val="7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basedOn w:val="74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8" w:customStyle="1">
    <w:name w:val="Grid Table 4 - Accent 2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Grid Table 4 - Accent 3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0" w:customStyle="1">
    <w:name w:val="Grid Table 4 - Accent 4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Grid Table 4 - Accent 5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2" w:customStyle="1">
    <w:name w:val="Grid Table 4 - Accent 6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3">
    <w:name w:val="Grid Table 5 Dark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2" w:customStyle="1">
    <w:name w:val="Grid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3" w:customStyle="1">
    <w:name w:val="Grid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4" w:customStyle="1">
    <w:name w:val="Grid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5" w:customStyle="1">
    <w:name w:val="Grid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6" w:customStyle="1">
    <w:name w:val="Grid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7">
    <w:name w:val="Grid Table 7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>
    <w:name w:val="List Table 6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1" w:customStyle="1">
    <w:name w:val="List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2" w:customStyle="1">
    <w:name w:val="List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3" w:customStyle="1">
    <w:name w:val="List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4" w:customStyle="1">
    <w:name w:val="List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5" w:customStyle="1">
    <w:name w:val="List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6">
    <w:name w:val="List Table 7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ned - Accent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5" w:customStyle="1">
    <w:name w:val="Lined - Accent 2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6" w:customStyle="1">
    <w:name w:val="Lined - Accent 3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7" w:customStyle="1">
    <w:name w:val="Lined - Accent 4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8" w:customStyle="1">
    <w:name w:val="Lined - Accent 5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9" w:customStyle="1">
    <w:name w:val="Lined - Accent 6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 &amp; Lined - Accent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Bordered &amp; Lined - Accent 2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Bordered &amp; Lined - Accent 3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Bordered &amp; Lined - Accent 4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Bordered &amp; Lined - Accent 5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Bordered &amp; Lined - Accent 6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9" w:customStyle="1">
    <w:name w:val="Bordered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0" w:customStyle="1">
    <w:name w:val="Bordered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1" w:customStyle="1">
    <w:name w:val="Bordered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2" w:customStyle="1">
    <w:name w:val="Bordered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3" w:customStyle="1">
    <w:name w:val="Bordered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4">
    <w:name w:val="footnote text"/>
    <w:basedOn w:val="735"/>
    <w:link w:val="915"/>
    <w:uiPriority w:val="99"/>
    <w:semiHidden/>
    <w:unhideWhenUsed/>
    <w:pPr>
      <w:spacing w:after="40"/>
    </w:pPr>
    <w:rPr>
      <w:sz w:val="18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basedOn w:val="745"/>
    <w:uiPriority w:val="99"/>
    <w:unhideWhenUsed/>
    <w:rPr>
      <w:vertAlign w:val="superscript"/>
    </w:rPr>
  </w:style>
  <w:style w:type="paragraph" w:styleId="917">
    <w:name w:val="endnote text"/>
    <w:basedOn w:val="735"/>
    <w:link w:val="918"/>
    <w:uiPriority w:val="99"/>
    <w:semiHidden/>
    <w:unhideWhenUsed/>
    <w:rPr>
      <w:sz w:val="20"/>
    </w:rPr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basedOn w:val="745"/>
    <w:uiPriority w:val="99"/>
    <w:semiHidden/>
    <w:unhideWhenUsed/>
    <w:rPr>
      <w:vertAlign w:val="superscript"/>
    </w:rPr>
  </w:style>
  <w:style w:type="paragraph" w:styleId="920">
    <w:name w:val="toc 1"/>
    <w:basedOn w:val="735"/>
    <w:next w:val="735"/>
    <w:uiPriority w:val="39"/>
    <w:unhideWhenUsed/>
    <w:pPr>
      <w:spacing w:after="57"/>
    </w:pPr>
  </w:style>
  <w:style w:type="paragraph" w:styleId="921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22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23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24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25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26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27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28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35"/>
    <w:next w:val="735"/>
    <w:uiPriority w:val="99"/>
    <w:unhideWhenUsed/>
  </w:style>
  <w:style w:type="character" w:styleId="931">
    <w:name w:val="Hyperlink"/>
    <w:basedOn w:val="745"/>
    <w:uiPriority w:val="99"/>
    <w:semiHidden/>
    <w:unhideWhenUsed/>
    <w:rPr>
      <w:color w:val="0000ff"/>
      <w:u w:val="single"/>
    </w:rPr>
  </w:style>
  <w:style w:type="paragraph" w:styleId="93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3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934">
    <w:name w:val="Table Grid"/>
    <w:basedOn w:val="7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5">
    <w:name w:val="List Paragraph"/>
    <w:basedOn w:val="735"/>
    <w:uiPriority w:val="34"/>
    <w:qFormat/>
    <w:pPr>
      <w:contextualSpacing/>
      <w:ind w:left="720"/>
    </w:pPr>
  </w:style>
  <w:style w:type="paragraph" w:styleId="936">
    <w:name w:val="Balloon Text"/>
    <w:basedOn w:val="735"/>
    <w:link w:val="93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37" w:customStyle="1">
    <w:name w:val="Текст выноски Знак"/>
    <w:basedOn w:val="745"/>
    <w:link w:val="93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38" w:customStyle="1">
    <w:name w:val="ConsPlusNormal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83131&amp;dst=21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revision>25</cp:revision>
  <dcterms:created xsi:type="dcterms:W3CDTF">2025-08-05T02:30:00Z</dcterms:created>
  <dcterms:modified xsi:type="dcterms:W3CDTF">2025-08-20T01:22:31Z</dcterms:modified>
</cp:coreProperties>
</file>