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BD" w:rsidRDefault="005222DE">
      <w:pPr>
        <w:tabs>
          <w:tab w:val="left" w:pos="2610"/>
        </w:tabs>
        <w:ind w:left="-284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2C1FBD" w:rsidRDefault="005222DE"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2C1FBD" w:rsidRDefault="005222DE"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C1FBD" w:rsidRDefault="002C1FBD">
      <w:pPr>
        <w:pStyle w:val="ConsPlusTitle"/>
        <w:ind w:left="-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1FBD" w:rsidRDefault="002C1FBD">
      <w:pPr>
        <w:pStyle w:val="ConsPlusTitle"/>
        <w:ind w:left="-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1FBD" w:rsidRDefault="002C1FBD">
      <w:pPr>
        <w:pStyle w:val="ConsPlusTitle"/>
        <w:ind w:left="-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1FBD" w:rsidRDefault="002C1FBD">
      <w:pPr>
        <w:pStyle w:val="ConsPlusTitle"/>
        <w:ind w:left="-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1FBD" w:rsidRDefault="002C1FBD">
      <w:pPr>
        <w:jc w:val="center"/>
        <w:rPr>
          <w:sz w:val="28"/>
          <w:szCs w:val="28"/>
        </w:rPr>
      </w:pPr>
    </w:p>
    <w:p w:rsidR="002C1FBD" w:rsidRDefault="002C1FBD">
      <w:pPr>
        <w:jc w:val="center"/>
        <w:rPr>
          <w:sz w:val="28"/>
          <w:szCs w:val="28"/>
        </w:rPr>
      </w:pPr>
    </w:p>
    <w:p w:rsidR="002C1FBD" w:rsidRDefault="002C1FBD">
      <w:pPr>
        <w:jc w:val="center"/>
        <w:rPr>
          <w:sz w:val="28"/>
          <w:szCs w:val="28"/>
        </w:rPr>
      </w:pPr>
    </w:p>
    <w:p w:rsidR="002C1FBD" w:rsidRDefault="002C1FBD">
      <w:pPr>
        <w:jc w:val="center"/>
        <w:rPr>
          <w:sz w:val="28"/>
          <w:szCs w:val="28"/>
        </w:rPr>
      </w:pPr>
    </w:p>
    <w:p w:rsidR="002C1FBD" w:rsidRDefault="002C1FBD">
      <w:pPr>
        <w:jc w:val="center"/>
        <w:rPr>
          <w:sz w:val="28"/>
          <w:szCs w:val="28"/>
        </w:rPr>
      </w:pPr>
    </w:p>
    <w:p w:rsidR="002C1FBD" w:rsidRDefault="002C1FBD">
      <w:pPr>
        <w:jc w:val="center"/>
        <w:rPr>
          <w:sz w:val="28"/>
          <w:szCs w:val="28"/>
        </w:rPr>
      </w:pPr>
    </w:p>
    <w:p w:rsidR="002C1FBD" w:rsidRDefault="00522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</w:t>
      </w:r>
    </w:p>
    <w:p w:rsidR="002C1FBD" w:rsidRDefault="005222DE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области от 30.12.2013 № 596-п</w:t>
      </w:r>
    </w:p>
    <w:p w:rsidR="002C1FBD" w:rsidRDefault="002C1FBD">
      <w:pPr>
        <w:ind w:left="-284"/>
        <w:jc w:val="center"/>
        <w:rPr>
          <w:sz w:val="28"/>
          <w:szCs w:val="28"/>
        </w:rPr>
      </w:pPr>
    </w:p>
    <w:p w:rsidR="002C1FBD" w:rsidRDefault="002C1FB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2C1FBD" w:rsidRDefault="005222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а н о в л я е т:</w:t>
      </w:r>
    </w:p>
    <w:p w:rsidR="002C1FBD" w:rsidRDefault="005222D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в постановление Правительства Новосибирской области от 30.12.2013 № 596-п «О возложении полномочий на государственное казенное учреждение Новосибирской области «Управление контрактной системы» следующие изменения:</w:t>
      </w:r>
    </w:p>
    <w:p w:rsidR="002C1FBD" w:rsidRDefault="005222DE">
      <w:pPr>
        <w:spacing w:line="280" w:lineRule="atLeast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Дополнить пунктом 1.1 следующего</w:t>
      </w:r>
      <w:r>
        <w:rPr>
          <w:color w:val="000000" w:themeColor="text1"/>
          <w:sz w:val="28"/>
          <w:szCs w:val="28"/>
        </w:rPr>
        <w:t xml:space="preserve"> содержания: </w:t>
      </w:r>
    </w:p>
    <w:p w:rsidR="002C1FBD" w:rsidRDefault="005222D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</w:rPr>
        <w:t xml:space="preserve">1.1. В целях обеспечения </w:t>
      </w:r>
      <w:r>
        <w:rPr>
          <w:color w:val="000000" w:themeColor="text1"/>
          <w:sz w:val="28"/>
          <w:szCs w:val="28"/>
        </w:rPr>
        <w:t xml:space="preserve">информационной прозрачности и повышения эффективности закупочной деятельности заказчиков Новосибирской области </w:t>
      </w:r>
      <w:r>
        <w:rPr>
          <w:color w:val="000000" w:themeColor="text1"/>
          <w:sz w:val="28"/>
        </w:rPr>
        <w:t>поручить государственному казенному учреждению Новосибирской области «Управление контрактной системы»:</w:t>
      </w:r>
    </w:p>
    <w:p w:rsidR="002C1FBD" w:rsidRDefault="005222D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1) разработать порядок осуществления оценки качества закупочной деятельности заказчиков Новосибирской области для формирования рейтингов закупочной деятельности заказчиков Новосибирской области;</w:t>
      </w:r>
    </w:p>
    <w:p w:rsidR="002C1FBD" w:rsidRDefault="005222D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2) формировать ежегодно (не позднее 01 марта) рейтинг закупоч</w:t>
      </w:r>
      <w:r>
        <w:rPr>
          <w:color w:val="000000" w:themeColor="text1"/>
          <w:sz w:val="28"/>
        </w:rPr>
        <w:t xml:space="preserve">ной деятельности заказчиков Новосибирской области, проводивших конкурентные закупки (далее - Рейтинг 1), публиковать его итоги </w:t>
      </w:r>
      <w:r>
        <w:rPr>
          <w:color w:val="000000" w:themeColor="text1"/>
          <w:sz w:val="28"/>
          <w:highlight w:val="white"/>
        </w:rPr>
        <w:t xml:space="preserve">в </w:t>
      </w:r>
      <w:r>
        <w:rPr>
          <w:color w:val="000000" w:themeColor="text1"/>
          <w:sz w:val="28"/>
          <w:szCs w:val="28"/>
          <w:highlight w:val="white"/>
        </w:rPr>
        <w:t xml:space="preserve">государственной информационной системе закупок Новосибирской области (далее </w:t>
      </w:r>
      <w:r>
        <w:rPr>
          <w:sz w:val="28"/>
        </w:rPr>
        <w:t>–</w:t>
      </w:r>
      <w:r>
        <w:rPr>
          <w:color w:val="000000" w:themeColor="text1"/>
          <w:sz w:val="28"/>
          <w:szCs w:val="28"/>
          <w:highlight w:val="white"/>
        </w:rPr>
        <w:t xml:space="preserve"> ГИСЗ НСО)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</w:rPr>
        <w:t>(в открытой части), в разделе «Аналитика», подразделе «Рейтинги закупочной деятельности заказчиков Новосибирской области»;</w:t>
      </w:r>
    </w:p>
    <w:p w:rsidR="002C1FBD" w:rsidRDefault="005222DE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3) формировать ежегодно (не позднее 01 марта) рейтинг закупочной деятельности заказчиков, не проводивших конкурентные закупки (далее </w:t>
      </w:r>
      <w:r>
        <w:rPr>
          <w:color w:val="000000" w:themeColor="text1"/>
          <w:sz w:val="28"/>
        </w:rPr>
        <w:t>- Рейтинг 2), публиковать его итоги на официальном сайте ГИСЗ НСО (в открытой части), в разделе «Аналитика», подразделе «Рейтинги закупочной деятельности заказчиков Новосибирской области».</w:t>
      </w:r>
    </w:p>
    <w:p w:rsidR="002C1FBD" w:rsidRDefault="005222DE">
      <w:pPr>
        <w:spacing w:line="280" w:lineRule="atLeast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>
        <w:rPr>
          <w:sz w:val="28"/>
          <w:szCs w:val="28"/>
        </w:rPr>
        <w:t>Пункт 3 после слов «</w:t>
      </w:r>
      <w:r>
        <w:rPr>
          <w:sz w:val="28"/>
        </w:rPr>
        <w:t>государственных нужд Новосибирской области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дополнить  словами</w:t>
      </w:r>
      <w:proofErr w:type="gramEnd"/>
      <w:r>
        <w:rPr>
          <w:sz w:val="28"/>
          <w:szCs w:val="28"/>
        </w:rPr>
        <w:t xml:space="preserve"> «</w:t>
      </w:r>
      <w:r>
        <w:rPr>
          <w:sz w:val="28"/>
        </w:rPr>
        <w:t>(далее – Порядок).</w:t>
      </w:r>
      <w:r>
        <w:rPr>
          <w:sz w:val="28"/>
          <w:szCs w:val="28"/>
        </w:rPr>
        <w:t>»</w:t>
      </w:r>
    </w:p>
    <w:p w:rsidR="002C1FBD" w:rsidRDefault="005222DE">
      <w:pPr>
        <w:spacing w:line="280" w:lineRule="atLeast"/>
        <w:ind w:right="-2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3. </w:t>
      </w:r>
      <w:r>
        <w:rPr>
          <w:sz w:val="28"/>
          <w:szCs w:val="28"/>
        </w:rPr>
        <w:t xml:space="preserve">Дополнить пунктом 3.1 следующего содержания: </w:t>
      </w:r>
    </w:p>
    <w:p w:rsidR="002C1FBD" w:rsidRDefault="00522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 Установить случаи, при которых </w:t>
      </w:r>
      <w:r>
        <w:rPr>
          <w:rFonts w:ascii="Times New Roman" w:hAnsi="Times New Roman" w:cs="Times New Roman"/>
          <w:sz w:val="28"/>
        </w:rPr>
        <w:t>Порядок не применяется:</w:t>
      </w:r>
    </w:p>
    <w:p w:rsidR="002C1FBD" w:rsidRDefault="005222D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1) определения поставщиков (подрядчиков, исполнителей) путем проведения запросов котировок в электронной ф</w:t>
      </w:r>
      <w:r>
        <w:rPr>
          <w:sz w:val="28"/>
        </w:rPr>
        <w:t>орме:</w:t>
      </w:r>
    </w:p>
    <w:p w:rsidR="002C1FBD" w:rsidRDefault="005222DE">
      <w:pPr>
        <w:ind w:firstLine="709"/>
        <w:jc w:val="both"/>
        <w:rPr>
          <w:sz w:val="28"/>
          <w:szCs w:val="28"/>
        </w:rPr>
      </w:pPr>
      <w:r>
        <w:rPr>
          <w:sz w:val="28"/>
        </w:rPr>
        <w:t>а) при условии, что начальная (максимальная) цена контракта не превышает трех миллионов рублей;</w:t>
      </w:r>
    </w:p>
    <w:p w:rsidR="002C1FBD" w:rsidRDefault="005222D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б) в случаях, предусмотренных </w:t>
      </w:r>
      <w:hyperlink r:id="rId6" w:tooltip="https://login.consultant.ru/link/?req=doc&amp;base=LAW&amp;n=483131&amp;dst=2125" w:history="1">
        <w:r>
          <w:rPr>
            <w:sz w:val="28"/>
          </w:rPr>
          <w:t>пунктом 2 части 10 статьи 24</w:t>
        </w:r>
      </w:hyperlink>
      <w:r>
        <w:rPr>
          <w:sz w:val="28"/>
        </w:rPr>
        <w:t xml:space="preserve"> Закона о контрактной системе;</w:t>
      </w:r>
    </w:p>
    <w:p w:rsidR="002C1FBD" w:rsidRDefault="005222DE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2) осуществления закупок у единственного поставщика (подрядчика, исполнителя);</w:t>
      </w:r>
    </w:p>
    <w:p w:rsidR="002C1FBD" w:rsidRDefault="005222DE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 случае применения закрытых способов определения поставщика (подрядчика, исполнителя) в соответствии со </w:t>
      </w:r>
      <w:hyperlink r:id="rId7" w:tooltip="https://login.consultant.ru/link/?req=doc&amp;base=LAW&amp;n=482981&amp;dst=2690" w:history="1">
        <w:r>
          <w:rPr>
            <w:rFonts w:ascii="Times New Roman" w:hAnsi="Times New Roman" w:cs="Times New Roman"/>
            <w:color w:val="000000" w:themeColor="text1"/>
            <w:sz w:val="28"/>
          </w:rPr>
          <w:t>статьями 72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>-</w:t>
      </w:r>
      <w:hyperlink r:id="rId8" w:tooltip="https://login.consultant.ru/link/?req=doc&amp;base=LAW&amp;n=482981&amp;dst=2898" w:history="1">
        <w:r>
          <w:rPr>
            <w:rFonts w:ascii="Times New Roman" w:hAnsi="Times New Roman" w:cs="Times New Roman"/>
            <w:color w:val="000000" w:themeColor="text1"/>
            <w:sz w:val="28"/>
          </w:rPr>
          <w:t>77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 xml:space="preserve"> Закона о контрактной системе;</w:t>
      </w:r>
    </w:p>
    <w:p w:rsidR="002C1FBD" w:rsidRDefault="005222DE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4) при закупках услуг по предоставлению Ново</w:t>
      </w:r>
      <w:r>
        <w:rPr>
          <w:rFonts w:ascii="Times New Roman" w:hAnsi="Times New Roman" w:cs="Times New Roman"/>
          <w:color w:val="000000" w:themeColor="text1"/>
          <w:sz w:val="28"/>
        </w:rPr>
        <w:t>сибирской области кредитных ресурсов;</w:t>
      </w:r>
    </w:p>
    <w:p w:rsidR="002C1FBD" w:rsidRDefault="005222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5) принятия государственным органом Новосибирской области, органом управления государственного внебюджетного фонда Новосибирской области решения о неприменении настоящего Порядка и самостоятельном определении поставщик</w:t>
      </w:r>
      <w:r>
        <w:rPr>
          <w:rFonts w:ascii="Times New Roman" w:hAnsi="Times New Roman" w:cs="Times New Roman"/>
          <w:color w:val="000000" w:themeColor="text1"/>
          <w:sz w:val="28"/>
        </w:rPr>
        <w:t>ов (подрядчиков, исполнителей) путем проведения электронных аукционов при условии, что начальная (м</w:t>
      </w:r>
      <w:r>
        <w:rPr>
          <w:rFonts w:ascii="Times New Roman" w:hAnsi="Times New Roman" w:cs="Times New Roman"/>
          <w:sz w:val="28"/>
        </w:rPr>
        <w:t>аксимальная) цена контракта не превышает шестисот тысяч рублей;</w:t>
      </w:r>
    </w:p>
    <w:p w:rsidR="002C1FBD" w:rsidRDefault="005222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6) принятия областным исполнительным органом Новосибирской области (за исключением министерст</w:t>
      </w:r>
      <w:r>
        <w:rPr>
          <w:rFonts w:ascii="Times New Roman" w:hAnsi="Times New Roman" w:cs="Times New Roman"/>
          <w:sz w:val="28"/>
        </w:rPr>
        <w:t>ва строительства Новосибирской области) в отношении себя, своих территориальных органов, а также подведомственных учреждений решения о неприменении настоящего Порядка и самостоятельном определении поставщиков (подрядчиков, исполнителей) путем проведения эл</w:t>
      </w:r>
      <w:r>
        <w:rPr>
          <w:rFonts w:ascii="Times New Roman" w:hAnsi="Times New Roman" w:cs="Times New Roman"/>
          <w:sz w:val="28"/>
        </w:rPr>
        <w:t>ектронных аукционов при условии, что начальная (максимальная) цена контракта не превышает шестисот тысяч рублей;</w:t>
      </w:r>
    </w:p>
    <w:p w:rsidR="002C1FBD" w:rsidRDefault="005222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7) принятия министерством здравоохранения Новосибирской области в отношении себя, подведомственных учреждений решения (приказа министерства здр</w:t>
      </w:r>
      <w:r>
        <w:rPr>
          <w:rFonts w:ascii="Times New Roman" w:hAnsi="Times New Roman" w:cs="Times New Roman"/>
          <w:sz w:val="28"/>
        </w:rPr>
        <w:t>авоохранения Новосибирской области) о неприменении настоящего Порядка и самостоятельном определении поставщиков (подрядчиков, исполнителей) путем проведения открытого конкурса в электронной форме, открытого аукциона в электронной форме, запроса котировок в</w:t>
      </w:r>
      <w:r>
        <w:rPr>
          <w:rFonts w:ascii="Times New Roman" w:hAnsi="Times New Roman" w:cs="Times New Roman"/>
          <w:sz w:val="28"/>
        </w:rPr>
        <w:t xml:space="preserve"> электронной форме при осуществлении закупок лекарственных и диагностических средств (препаратов), реактивов (реагентов), медицинских изделий, продуктов питания, в том числе продуктов лечебного питания, при условии, что начальная (максимальная) цена контра</w:t>
      </w:r>
      <w:r>
        <w:rPr>
          <w:rFonts w:ascii="Times New Roman" w:hAnsi="Times New Roman" w:cs="Times New Roman"/>
          <w:sz w:val="28"/>
        </w:rPr>
        <w:t>кта не превышает трех миллионов рублей, на выполнение работ по капитальному ремонту объектов капитального строительства и их частей при условии, что начальная (максимальная) цена контракта не превышает десяти миллионов рублей, на выполнение работ по текуще</w:t>
      </w:r>
      <w:r>
        <w:rPr>
          <w:rFonts w:ascii="Times New Roman" w:hAnsi="Times New Roman" w:cs="Times New Roman"/>
          <w:sz w:val="28"/>
        </w:rPr>
        <w:t>му ремонту объектов капитального строительства и их частей при условии, что начальная (максимальная) цена контракта не превышает пяти миллионов рублей, на оказание услуг по архитектурно-строительному проектированию для обеспечения капитального ремонта объе</w:t>
      </w:r>
      <w:r>
        <w:rPr>
          <w:rFonts w:ascii="Times New Roman" w:hAnsi="Times New Roman" w:cs="Times New Roman"/>
          <w:sz w:val="28"/>
        </w:rPr>
        <w:t>ктов капитального строительства и их частей при условии, что начальная (максимальная) цена контракта не превышает трех миллионов рублей.</w:t>
      </w:r>
    </w:p>
    <w:p w:rsidR="002C1FBD" w:rsidRDefault="005222D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Положения абзаца «а» подпункта 1, подпунктов 6 и 7 пункта 3.1 настоящего постановления, не применяются к закупкам заказ</w:t>
      </w:r>
      <w:r>
        <w:rPr>
          <w:rFonts w:ascii="Times New Roman" w:hAnsi="Times New Roman" w:cs="Times New Roman"/>
          <w:sz w:val="28"/>
        </w:rPr>
        <w:t>чиков, включенных 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Рейтинг № 1 и занявших в нем последние десять мест, а также </w:t>
      </w:r>
      <w:r>
        <w:rPr>
          <w:rFonts w:ascii="Times New Roman" w:hAnsi="Times New Roman" w:cs="Times New Roman"/>
          <w:sz w:val="28"/>
        </w:rPr>
        <w:t>в Рейтинг № 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</w:p>
    <w:p w:rsidR="002C1FBD" w:rsidRDefault="005222DE">
      <w:pPr>
        <w:spacing w:after="1" w:line="280" w:lineRule="atLeast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 В Порядке взаимодействия заказчиков Новосибирской области с уполномоченным учреждением в сфере закупок товаров, работ, услуг для обеспечения государственных </w:t>
      </w:r>
      <w:r>
        <w:rPr>
          <w:color w:val="000000" w:themeColor="text1"/>
          <w:sz w:val="28"/>
          <w:szCs w:val="28"/>
        </w:rPr>
        <w:t>нужд Новосибирской области:</w:t>
      </w:r>
    </w:p>
    <w:p w:rsidR="002C1FBD" w:rsidRDefault="005222DE">
      <w:pPr>
        <w:spacing w:after="1" w:line="280" w:lineRule="atLeast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 пункте 2:</w:t>
      </w:r>
    </w:p>
    <w:p w:rsidR="002C1FBD" w:rsidRDefault="005222DE">
      <w:pPr>
        <w:spacing w:after="1" w:line="280" w:lineRule="atLeast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в абзаце первом слова «государственных» исключить;</w:t>
      </w:r>
    </w:p>
    <w:p w:rsidR="002C1FBD" w:rsidRDefault="005222DE">
      <w:pPr>
        <w:spacing w:after="1" w:line="280" w:lineRule="atLeast"/>
        <w:ind w:right="-2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б) в абзаце седьмом слова: «(далее – заказчики), за исключением следующих случаев:»</w:t>
      </w:r>
      <w:r>
        <w:rPr>
          <w:sz w:val="28"/>
          <w:szCs w:val="28"/>
        </w:rPr>
        <w:t xml:space="preserve"> исключить;</w:t>
      </w:r>
    </w:p>
    <w:p w:rsidR="002C1FBD" w:rsidRDefault="005222DE">
      <w:pPr>
        <w:spacing w:after="1" w:line="280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подпункты 1-7 признать утратившими силу.</w:t>
      </w:r>
    </w:p>
    <w:p w:rsidR="002C1FBD" w:rsidRDefault="002C1FBD">
      <w:pPr>
        <w:spacing w:after="1" w:line="280" w:lineRule="atLeast"/>
        <w:ind w:right="-2" w:firstLine="709"/>
        <w:jc w:val="both"/>
        <w:rPr>
          <w:sz w:val="28"/>
          <w:szCs w:val="28"/>
        </w:rPr>
      </w:pPr>
    </w:p>
    <w:p w:rsidR="002C1FBD" w:rsidRDefault="002C1FBD">
      <w:pPr>
        <w:ind w:right="-2"/>
        <w:rPr>
          <w:sz w:val="28"/>
        </w:rPr>
      </w:pPr>
    </w:p>
    <w:p w:rsidR="002C1FBD" w:rsidRDefault="002C1FBD">
      <w:pPr>
        <w:ind w:right="-2"/>
        <w:rPr>
          <w:sz w:val="28"/>
          <w:szCs w:val="28"/>
        </w:rPr>
      </w:pPr>
    </w:p>
    <w:p w:rsidR="002C1FBD" w:rsidRDefault="005222DE">
      <w:pPr>
        <w:ind w:right="-2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2C1FBD" w:rsidRDefault="002C1FBD">
      <w:pPr>
        <w:rPr>
          <w:sz w:val="28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rPr>
          <w:sz w:val="20"/>
          <w:szCs w:val="20"/>
        </w:rPr>
      </w:pPr>
    </w:p>
    <w:p w:rsidR="002C1FBD" w:rsidRDefault="005222DE">
      <w:pPr>
        <w:rPr>
          <w:sz w:val="20"/>
          <w:szCs w:val="20"/>
        </w:rPr>
      </w:pPr>
      <w:r>
        <w:rPr>
          <w:sz w:val="20"/>
          <w:szCs w:val="20"/>
        </w:rPr>
        <w:t xml:space="preserve">С.Л. </w:t>
      </w:r>
      <w:proofErr w:type="spellStart"/>
      <w:r>
        <w:rPr>
          <w:sz w:val="20"/>
          <w:szCs w:val="20"/>
        </w:rPr>
        <w:t>Шарпф</w:t>
      </w:r>
      <w:proofErr w:type="spellEnd"/>
    </w:p>
    <w:p w:rsidR="002C1FBD" w:rsidRDefault="005222DE">
      <w:pPr>
        <w:rPr>
          <w:sz w:val="20"/>
          <w:szCs w:val="20"/>
        </w:rPr>
      </w:pPr>
      <w:r>
        <w:rPr>
          <w:sz w:val="20"/>
          <w:szCs w:val="20"/>
        </w:rPr>
        <w:t>238 63 84</w:t>
      </w:r>
    </w:p>
    <w:p w:rsidR="002C1FBD" w:rsidRDefault="002C1FBD">
      <w:pPr>
        <w:rPr>
          <w:sz w:val="20"/>
          <w:szCs w:val="20"/>
        </w:rPr>
      </w:pPr>
    </w:p>
    <w:p w:rsidR="002C1FBD" w:rsidRDefault="002C1FBD">
      <w:pPr>
        <w:ind w:right="-284"/>
        <w:rPr>
          <w:sz w:val="20"/>
          <w:szCs w:val="20"/>
        </w:rPr>
      </w:pPr>
    </w:p>
    <w:p w:rsidR="002C1FBD" w:rsidRDefault="005222DE">
      <w:pPr>
        <w:ind w:right="-284"/>
        <w:rPr>
          <w:sz w:val="20"/>
          <w:szCs w:val="20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Style w:val="aff"/>
        <w:tblW w:w="31448" w:type="dxa"/>
        <w:tblInd w:w="-28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1164"/>
        <w:gridCol w:w="284"/>
      </w:tblGrid>
      <w:tr w:rsidR="002C1FBD">
        <w:tc>
          <w:tcPr>
            <w:tcW w:w="31164" w:type="dxa"/>
            <w:gridSpan w:val="2"/>
          </w:tcPr>
          <w:p w:rsidR="002C1FBD" w:rsidRDefault="002C1FBD">
            <w:pPr>
              <w:tabs>
                <w:tab w:val="left" w:pos="931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2C1FBD">
        <w:trPr>
          <w:gridAfter w:val="1"/>
          <w:wAfter w:w="284" w:type="dxa"/>
        </w:trPr>
        <w:tc>
          <w:tcPr>
            <w:tcW w:w="31164" w:type="dxa"/>
          </w:tcPr>
          <w:tbl>
            <w:tblPr>
              <w:tblStyle w:val="aff"/>
              <w:tblW w:w="10102" w:type="dxa"/>
              <w:tblInd w:w="1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5527"/>
              <w:gridCol w:w="1116"/>
              <w:gridCol w:w="3459"/>
            </w:tblGrid>
            <w:tr w:rsidR="002C1FBD">
              <w:tc>
                <w:tcPr>
                  <w:tcW w:w="5527" w:type="dxa"/>
                </w:tcPr>
                <w:p w:rsidR="002C1FBD" w:rsidRDefault="005222D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</w:t>
                  </w:r>
                </w:p>
                <w:p w:rsidR="002C1FBD" w:rsidRDefault="005222D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Председателя Правительства</w:t>
                  </w:r>
                </w:p>
                <w:p w:rsidR="002C1FBD" w:rsidRDefault="005222D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Новосибирской области 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В.М. 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Знатков</w:t>
                  </w:r>
                  <w:proofErr w:type="spellEnd"/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юстиции 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Т.Н. 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Деркач</w:t>
                  </w:r>
                  <w:proofErr w:type="spellEnd"/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Заместитель Председателя Правительства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Новосибирской области – министр финансов и налоговой политики 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В.Ю. Голубенко </w:t>
                  </w:r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Заместитель Председателя Правительства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Новосибирской области – 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региональной политики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Новосибирской области 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Р.В. 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Бурдин</w:t>
                  </w:r>
                  <w:proofErr w:type="spellEnd"/>
                </w:p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Заместитель Председателя Правительства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Новосибирской области – 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сельского хозяйства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Новосибирской области 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А.В. 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Шинделов</w:t>
                  </w:r>
                  <w:proofErr w:type="spellEnd"/>
                </w:p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И.о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. Министра 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жилищно-коммунального хозяйства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Е.Г. Назаров</w:t>
                  </w:r>
                </w:p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физической культуры и спорта Новосибирской области 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А.С.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Ахапов</w:t>
                  </w:r>
                  <w:proofErr w:type="spellEnd"/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 _2025 г._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труда и социального развития 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Е.В.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Бахарева</w:t>
                  </w:r>
                  <w:proofErr w:type="spellEnd"/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«____»___________2025 г. 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науки и инновационной политики 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В.В. Васильев</w:t>
                  </w:r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«___»_______2025 г.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промышленности, торговли и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развития предпринимательства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А.А. Гончаров</w:t>
                  </w:r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образования 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М.Н.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Жафярова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lastRenderedPageBreak/>
                    <w:t>Министр культуры 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 xml:space="preserve">Ю.К. </w:t>
                  </w:r>
                  <w:proofErr w:type="spellStart"/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>Шуклина</w:t>
                  </w:r>
                  <w:proofErr w:type="spellEnd"/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>«____»_______2025 г.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highlight w:val="white"/>
                    </w:rPr>
                  </w:pP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>Министр транспорта и дорожного хозяйства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>А.В. </w:t>
                  </w:r>
                  <w:proofErr w:type="spellStart"/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>Костылевский</w:t>
                  </w:r>
                  <w:proofErr w:type="spellEnd"/>
                </w:p>
                <w:p w:rsidR="002C1FBD" w:rsidRDefault="005222DE">
                  <w:pPr>
                    <w:jc w:val="right"/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rPr>
                      <w:sz w:val="28"/>
                      <w:szCs w:val="28"/>
                      <w:highlight w:val="white"/>
                    </w:rPr>
                  </w:pP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 xml:space="preserve">Министр экономического развития 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>Л.Н. Решетников</w:t>
                  </w:r>
                </w:p>
                <w:p w:rsidR="002C1FBD" w:rsidRDefault="005222DE">
                  <w:pPr>
                    <w:jc w:val="right"/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highlight w:val="white"/>
                    </w:rPr>
                  </w:pP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 xml:space="preserve">Министр здравоохранения Новосибирской области 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highlight w:val="white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</w:t>
                  </w: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 xml:space="preserve">.М. </w:t>
                  </w:r>
                  <w:r>
                    <w:rPr>
                      <w:sz w:val="28"/>
                      <w:szCs w:val="28"/>
                      <w:lang w:eastAsia="en-US"/>
                    </w:rPr>
                    <w:t>Заблоцкий</w:t>
                  </w:r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цифрового развития и связи Новосибирской области 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С.С.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Цукарь</w:t>
                  </w:r>
                  <w:proofErr w:type="spellEnd"/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«___»_________2025 г.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природных ресурсов и экологии 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Е.А. Шестернин</w:t>
                  </w:r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«____»________2025 г.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Руководитель департамента по тарифам 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Г.Г. 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Асмодьяров</w:t>
                  </w:r>
                  <w:proofErr w:type="spellEnd"/>
                </w:p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И.о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руководителя департамента молодежной политики 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 xml:space="preserve">С.В. </w:t>
                  </w:r>
                  <w:proofErr w:type="spellStart"/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>Королькова</w:t>
                  </w:r>
                  <w:proofErr w:type="spellEnd"/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>«____»_________2025 г.</w:t>
                  </w: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highlight w:val="yellow"/>
                    </w:rPr>
                  </w:pPr>
                </w:p>
              </w:tc>
            </w:tr>
            <w:tr w:rsidR="002C1FBD">
              <w:trPr>
                <w:trHeight w:val="404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Руководитель департамента имущества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и земельных отношений 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Р.Г. 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Шилохвостов</w:t>
                  </w:r>
                  <w:proofErr w:type="spellEnd"/>
                </w:p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lang w:eastAsia="en-US"/>
                    </w:rPr>
                  </w:pP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управления по обеспечению деятельности мировых судей 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А.В. Артеменко</w:t>
                  </w:r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«____»_______2025 г.</w:t>
                  </w: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управления государственной архивной службы 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К.В. Захаров</w:t>
                  </w:r>
                </w:p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Управляющий делами Губернатора Новосибирской области и Правительства Новосибирской области  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В.Г.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Манев</w:t>
                  </w:r>
                  <w:proofErr w:type="spellEnd"/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«___»_________2025 г.</w:t>
                  </w: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управления информационных проектов Новосибирской области 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С.Е. Матвиенко</w:t>
                  </w:r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«___»_________2025 г.</w:t>
                  </w: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  <w:vMerge w:val="restart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  <w:vMerge w:val="restart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vMerge w:val="restart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управления ветеринарии 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О.А. Рожков</w:t>
                  </w:r>
                </w:p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управления по делам ЗАГС 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Н.А. Шустова</w:t>
                  </w:r>
                </w:p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«____»__________2025 г.</w:t>
                  </w: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государственной инспекции по охране объектов культурного наследия 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Е.В.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Макавчик</w:t>
                  </w:r>
                  <w:proofErr w:type="spellEnd"/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«____»________2025 г.</w:t>
                  </w: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И.о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. начальник инспекции 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государственного строительного надзора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>О.Ю. Михальченко</w:t>
                  </w:r>
                </w:p>
                <w:p w:rsidR="002C1FBD" w:rsidRDefault="005222DE">
                  <w:pPr>
                    <w:jc w:val="right"/>
                    <w:rPr>
                      <w:highlight w:val="white"/>
                    </w:rPr>
                  </w:pPr>
                  <w:r>
                    <w:rPr>
                      <w:sz w:val="28"/>
                      <w:szCs w:val="28"/>
                      <w:highlight w:val="white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государственной жилищной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инспекции 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А.И. Полищук</w:t>
                  </w:r>
                </w:p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1268"/>
              </w:trPr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инспекции 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государственного надзора за техническим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состоянием самоходных машин и других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видов техники 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А.А. Соболевский</w:t>
                  </w:r>
                </w:p>
                <w:p w:rsidR="002C1FBD" w:rsidRDefault="005222DE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rPr>
                <w:trHeight w:val="322"/>
              </w:trPr>
              <w:tc>
                <w:tcPr>
                  <w:tcW w:w="5527" w:type="dxa"/>
                </w:tcPr>
                <w:p w:rsidR="002C1FBD" w:rsidRDefault="005222D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контрольного управления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С.Л.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Шарпф</w:t>
                  </w:r>
                  <w:proofErr w:type="spellEnd"/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Директор государственного казенного учреждения Новосибирской области «Управление контрактной системы»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А.Ю. Литвинов</w:t>
                  </w:r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2C1FBD">
              <w:tc>
                <w:tcPr>
                  <w:tcW w:w="5527" w:type="dxa"/>
                </w:tcPr>
                <w:p w:rsidR="002C1FBD" w:rsidRDefault="002C1FBD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2C1FBD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C1FBD">
              <w:tc>
                <w:tcPr>
                  <w:tcW w:w="5527" w:type="dxa"/>
                </w:tcPr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отдела административного производства контрольного управления </w:t>
                  </w:r>
                </w:p>
                <w:p w:rsidR="002C1FBD" w:rsidRDefault="005222DE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6" w:type="dxa"/>
                </w:tcPr>
                <w:p w:rsidR="002C1FBD" w:rsidRDefault="002C1FBD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</w:tcPr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Н.В. Грачева</w:t>
                  </w:r>
                </w:p>
                <w:p w:rsidR="002C1FBD" w:rsidRDefault="005222DE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</w:tbl>
          <w:p w:rsidR="002C1FBD" w:rsidRDefault="002C1FB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C1FBD" w:rsidRDefault="002C1FBD">
      <w:pPr>
        <w:rPr>
          <w:sz w:val="20"/>
          <w:szCs w:val="20"/>
        </w:rPr>
      </w:pPr>
    </w:p>
    <w:sectPr w:rsidR="002C1F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DE" w:rsidRDefault="005222DE">
      <w:r>
        <w:separator/>
      </w:r>
    </w:p>
  </w:endnote>
  <w:endnote w:type="continuationSeparator" w:id="0">
    <w:p w:rsidR="005222DE" w:rsidRDefault="0052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BD" w:rsidRDefault="002C1FB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BD" w:rsidRDefault="002C1FB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BD" w:rsidRDefault="002C1F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DE" w:rsidRDefault="005222DE">
      <w:r>
        <w:separator/>
      </w:r>
    </w:p>
  </w:footnote>
  <w:footnote w:type="continuationSeparator" w:id="0">
    <w:p w:rsidR="005222DE" w:rsidRDefault="0052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BD" w:rsidRDefault="002C1FB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BD" w:rsidRDefault="005222DE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C43B36">
      <w:rPr>
        <w:noProof/>
      </w:rPr>
      <w:t>6</w:t>
    </w:r>
    <w:r>
      <w:fldChar w:fldCharType="end"/>
    </w:r>
  </w:p>
  <w:p w:rsidR="002C1FBD" w:rsidRDefault="002C1FB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BD" w:rsidRDefault="002C1FB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BD"/>
    <w:rsid w:val="002C1FBD"/>
    <w:rsid w:val="005222DE"/>
    <w:rsid w:val="00C4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0F0D8-88D8-4426-A375-D086AB5F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styleId="af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styleId="af2">
    <w:name w:val="endnote referenc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f3">
    <w:name w:val="Текст выноски Знак"/>
    <w:basedOn w:val="a0"/>
    <w:link w:val="af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styleId="af5">
    <w:name w:val="Hyperlink"/>
    <w:rPr>
      <w:color w:val="000080"/>
      <w:u w:val="single"/>
    </w:rPr>
  </w:style>
  <w:style w:type="paragraph" w:styleId="a4">
    <w:name w:val="Title"/>
    <w:basedOn w:val="a"/>
    <w:next w:val="af6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Droid Sans"/>
    </w:rPr>
  </w:style>
  <w:style w:type="paragraph" w:styleId="af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9">
    <w:name w:val="index heading"/>
    <w:basedOn w:val="a4"/>
  </w:style>
  <w:style w:type="paragraph" w:styleId="afa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paragraph" w:styleId="ae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pPr>
      <w:spacing w:after="160" w:line="259" w:lineRule="auto"/>
    </w:pPr>
  </w:style>
  <w:style w:type="paragraph" w:styleId="afc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3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customStyle="1" w:styleId="afe">
    <w:name w:val="Без списка"/>
    <w:uiPriority w:val="99"/>
    <w:semiHidden/>
    <w:unhideWhenUsed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981&amp;dst=2898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981&amp;dst=269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1&amp;dst=212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dc:description/>
  <cp:lastModifiedBy>Кухаева Наталья Александровна</cp:lastModifiedBy>
  <cp:revision>2</cp:revision>
  <dcterms:created xsi:type="dcterms:W3CDTF">2025-03-31T08:29:00Z</dcterms:created>
  <dcterms:modified xsi:type="dcterms:W3CDTF">2025-03-31T08:29:00Z</dcterms:modified>
  <dc:language>ru-RU</dc:language>
</cp:coreProperties>
</file>