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Gen0"/>
        <w:tblW w:w="10030" w:type="dxa"/>
        <w:tblLayout w:type="fixed"/>
        <w:tblLook w:val="0400" w:firstRow="0" w:lastRow="0" w:firstColumn="0" w:lastColumn="0" w:noHBand="0" w:noVBand="1"/>
      </w:tblPr>
      <w:tblGrid>
        <w:gridCol w:w="5637"/>
        <w:gridCol w:w="4393"/>
      </w:tblGrid>
      <w:tr w:rsidR="00F333C7">
        <w:tc>
          <w:tcPr>
            <w:tcW w:w="5637" w:type="dxa"/>
          </w:tcPr>
          <w:p w:rsidR="00F333C7" w:rsidRDefault="00F333C7">
            <w:pPr>
              <w:pStyle w:val="18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3" w:type="dxa"/>
          </w:tcPr>
          <w:p w:rsidR="00F333C7" w:rsidRDefault="009708A2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УТВЕРЖДЕНЫ</w:t>
            </w:r>
          </w:p>
          <w:p w:rsidR="00F333C7" w:rsidRDefault="009708A2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постановлением Правительства</w:t>
            </w:r>
          </w:p>
          <w:p w:rsidR="00F333C7" w:rsidRDefault="009708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</w:tbl>
    <w:p w:rsidR="00F333C7" w:rsidRDefault="00F333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3C7" w:rsidRDefault="00F333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3C7" w:rsidRDefault="00F333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3C7" w:rsidRDefault="009708A2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МЕТОДИЧЕСКИЕ РЕКОМЕНДАЦИИ </w:t>
      </w:r>
    </w:p>
    <w:p w:rsidR="00F333C7" w:rsidRDefault="009708A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применению методов определения цены контракта </w:t>
      </w:r>
    </w:p>
    <w:p w:rsidR="00F333C7" w:rsidRDefault="009708A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поставку товара и (или) оказание услуги, предусматривающего </w:t>
      </w:r>
    </w:p>
    <w:p w:rsidR="00F333C7" w:rsidRDefault="009708A2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встречные инвестиционные обязательства поставщика и (или) исполнителя по созданию, модернизации, освоению производства товара на территории Новосибирской области и (или) созданию, реконструкции на территории Новосибирской области используемого для оказания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 имущества (недвижимого имущества или недвижимого имущества и движимого имущества, технологически связанных между собой)</w:t>
      </w:r>
    </w:p>
    <w:p w:rsidR="00F333C7" w:rsidRDefault="00F33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33C7" w:rsidRDefault="009708A2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Настоящие методические рекомендации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применению методов определения цены контракта на поставку товара и (или) оказание усл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уги, предусматривающего встречные инвестиционные обязательства поставщика и (или) исполнителя по созданию, модернизации, освоению производства товара на территории Новосибирской области и (или) созданию, реконструкции на территории Новосибирской области 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пользуемого для оказания услуги имущества (недвижимого имущества или недвижимого имущества и движимого имущества, технологически связанных между собой)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разработаны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заказчиков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овосибирской области (далее – заказчик)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дополнение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методическим рекомендациям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 Министерства экономического развития Российско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Федерации от 2 октября 2013 г. № 567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определяют особенности определения цены контракта на поставку товара и (или) оказание услуги, предусматривающего встречные инвестиционные обязательства поставщика и (или) исполнителя по созданию, модернизации, освое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производства товара на территории Новосибирской области и (или) созданию, реконструкции на территории Новосибирской области используемого для оказания услуги имущества (недвижимого имущества или недвижимого имущества и движимого имущества, технологичес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связанных между собой), (далее – контракт со встречными инвестиционными обязательствами),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цены контракта со встречными инвестиционными обязательствами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первый и последующие годы поставки товара (оказания услуги)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33C7" w:rsidRDefault="009708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 Определение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начальной (максимальной) цены контра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кта со встречными инвестиционными обязательствами осуществляется с использованием методов, предусмотренных статьей 22 Федерального закона от 05.04.2013 № 44-ФЗ «О контрактной системе в сфере закупок товаров, работ,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обеспечения государственных и муниципальных нужд».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3. Определение цены контракта со встречными инвестиционными обязательствами на первый и последующие годы поставки товар (оказания услуги) осуществляется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не позднее 15 ноября каждого календарног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года, начиная с года, предшествующего первому году поставки товара (оказания услуги), в соответствии с пунктами 4,5 настоящих Рекомендаций, с учетом установленного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контракто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со встречными инвестиционными обязательствами объема поставки товара (оказания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услуги) на следующий календарный год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На первый год поставки товара (оказания услуг) определение цены контракта со встречными инвестиционными обязательствами осуществляется по формуле:</w:t>
      </w:r>
    </w:p>
    <w:p w:rsidR="00F333C7" w:rsidRDefault="009708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ЦК</m:t>
              </m:r>
            </m:e>
            <m: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g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ЦТ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(У)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,1</m:t>
                  </m:r>
                </m:sub>
              </m:sSub>
            </m:e>
          </m:nary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ОТ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У</m:t>
                  </m:r>
                </m:e>
              </m:d>
            </m:e>
            <m: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g</m:t>
              </m:r>
            </m:sub>
          </m:sSub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,</m:t>
          </m:r>
        </m:oMath>
      </m:oMathPara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ЦК</m:t>
            </m:r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цена контракта со встречными инвестиционными обязательствами в первый год поставки товара (оказания услуги);</w:t>
      </w:r>
    </w:p>
    <w:p w:rsidR="00F333C7" w:rsidRDefault="009708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N</m:t>
        </m:r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количество товаров (количество услуг), поставляемых (оказываемых) в первый год поставки товара (оказания услуги);</w:t>
      </w:r>
    </w:p>
    <w:p w:rsidR="00F333C7" w:rsidRDefault="009708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ЦТ</m:t>
        </m:r>
        <m:sSub>
          <m:sSubPr>
            <m:ctrlPr>
              <w:rPr>
                <w:rFonts w:ascii="Cambria Math" w:eastAsia="Cambria Math" w:hAnsi="Cambria Math" w:cs="Cambria Math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(У)</m:t>
            </m:r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g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,1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цена g-го това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(услуги) в первый год поставки товара (оказания услуги), определяемая в соответствии пунктом 6 Рекомендаций;</w:t>
      </w:r>
    </w:p>
    <w:p w:rsidR="00F333C7" w:rsidRDefault="009708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ОТ(У)</m:t>
            </m:r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g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 xml:space="preserve"> 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объем поставки g-го товара (оказания g-й услуги) за весь период поставки товара (оказания услуги) согласно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 контракта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встр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ечными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инвестиционными обязательствами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На i-й год поставки товара (оказания услуг) цена контракта со встречными инвестиционными обязательствами определяется по формуле:</w:t>
      </w:r>
    </w:p>
    <w:p w:rsidR="00F333C7" w:rsidRDefault="009708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ЦК</m:t>
              </m:r>
            </m:e>
            <m: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m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1</m:t>
              </m:r>
            </m:sup>
            <m:e>
              <m:nary>
                <m:naryPr>
                  <m:chr m:val="∑"/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ЦТ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color w:val="000000" w:themeColor="text1"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 w:themeColor="text1"/>
                              <w:sz w:val="28"/>
                              <w:szCs w:val="28"/>
                            </w:rPr>
                            <m:t>У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  <w:szCs w:val="28"/>
                        </w:rPr>
                        <m:t>g</m:t>
                      </m:r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nary>
            </m:e>
          </m:nary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ОТ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У</m:t>
                  </m:r>
                </m:e>
              </m:d>
            </m:e>
            <m: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g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g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Ц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Т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  <w:szCs w:val="28"/>
                        </w:rPr>
                        <m:t>У</m:t>
                      </m:r>
                    </m:e>
                  </m:d>
                </m:e>
                <m:sub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ОТ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  <w:szCs w:val="28"/>
                        </w:rPr>
                        <m:t>У</m:t>
                      </m:r>
                    </m:e>
                  </m:d>
                </m:e>
                <m:sub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g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ОТ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28"/>
                          <w:szCs w:val="28"/>
                        </w:rPr>
                        <m:t>У</m:t>
                      </m:r>
                    </m:e>
                  </m:d>
                </m:e>
                <m:sub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,</m:t>
          </m:r>
        </m:oMath>
      </m:oMathPara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ЦК</m:t>
            </m:r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ц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контракта со встречными инвестиционными обязательствами в i-й год исполнения контракта;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N</m:t>
        </m:r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количество товаров (количество услуг), поставляемых (оказываемых) в i-й год исполнения контракта со встречными инвестиционными обязательствами;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– год поставки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товара (оказания g-й услуги);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 – год поставки g-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товара (оказания g-й услуги), который принимается в значении от 1 до i-1;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ЦТ</m:t>
        </m:r>
        <m:sSub>
          <m:sSubPr>
            <m:ctrlPr>
              <w:rPr>
                <w:rFonts w:ascii="Cambria Math" w:eastAsia="Cambria Math" w:hAnsi="Cambria Math" w:cs="Cambria Math"/>
                <w:color w:val="000000" w:themeColor="text1"/>
                <w:sz w:val="28"/>
              </w:rPr>
            </m:ctrlPr>
          </m:sSub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 w:themeColor="text1"/>
                    <w:sz w:val="28"/>
                    <w:szCs w:val="28"/>
                  </w:rPr>
                  <m:t>У</m:t>
                </m:r>
              </m:e>
            </m:d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g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m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цена g-го товара (услуги) в год m поставки, определяемая в соответствии с пунктом 6 Рекомендаций;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ОТ</m:t>
            </m:r>
            <m:d>
              <m:dPr>
                <m:ctrlPr>
                  <w:rPr>
                    <w:rFonts w:ascii="Cambria Math" w:eastAsia="Cambria Math" w:hAnsi="Cambria Math" w:cs="Cambria Math"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 w:themeColor="text1"/>
                    <w:sz w:val="28"/>
                    <w:szCs w:val="28"/>
                  </w:rPr>
                  <m:t>У</m:t>
                </m:r>
              </m:e>
            </m:d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g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m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объе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фактической поставки g-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товара (оказания g-й услуги) в год m; 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Ц</m:t>
        </m:r>
        <m:sSub>
          <m:sSubPr>
            <m:ctrlPr>
              <w:rPr>
                <w:rFonts w:ascii="Cambria Math" w:eastAsia="Cambria Math" w:hAnsi="Cambria Math" w:cs="Cambria Math"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Т</m:t>
            </m:r>
            <m:d>
              <m:dPr>
                <m:ctrlPr>
                  <w:rPr>
                    <w:rFonts w:ascii="Cambria Math" w:eastAsia="Cambria Math" w:hAnsi="Cambria Math" w:cs="Cambria Math"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 w:themeColor="text1"/>
                    <w:sz w:val="28"/>
                    <w:szCs w:val="28"/>
                  </w:rPr>
                  <m:t>У</m:t>
                </m:r>
              </m:e>
            </m:d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g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цена g-го товара (услуги) в i-й год поставки товара (оказания услуги), определяемая в соответствии с пунктом 6 Рекомендаций;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ОТ</m:t>
            </m:r>
            <m:d>
              <m:dPr>
                <m:ctrlPr>
                  <w:rPr>
                    <w:rFonts w:ascii="Cambria Math" w:eastAsia="Cambria Math" w:hAnsi="Cambria Math" w:cs="Cambria Math"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 w:themeColor="text1"/>
                    <w:sz w:val="28"/>
                    <w:szCs w:val="28"/>
                  </w:rPr>
                  <m:t>У</m:t>
                </m:r>
              </m:e>
            </m:d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g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объем поставки g-го товара (оказания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g-й услуги) за весь период поставки товара (оказания услуги) согласно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 контракта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встречными инвестиционными обязательствами;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ОТ</m:t>
        </m:r>
        <m:sSub>
          <m:sSubPr>
            <m:ctrlPr>
              <w:rPr>
                <w:rFonts w:ascii="Cambria Math" w:eastAsia="Cambria Math" w:hAnsi="Cambria Math" w:cs="Cambria Math"/>
                <w:color w:val="000000" w:themeColor="text1"/>
                <w:sz w:val="28"/>
              </w:rPr>
            </m:ctrlPr>
          </m:sSub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 w:themeColor="text1"/>
                    <w:sz w:val="28"/>
                    <w:szCs w:val="28"/>
                  </w:rPr>
                  <m:t>У</m:t>
                </m:r>
              </m:e>
            </m:d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g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объем фактической поставки g-го товара (оказания g-й услуги) за период до года, предшествующего i-му году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поставки.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В целях определения цены g-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товара (услуги) в i-м году поставки товара (оказания услуги) (в том числе в год m) и расчета цены контракта со встречными инвестиционными обязательствами в соответствии с пунктами 4-5 Рекомендаций, заказчик по 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тракту со встречными инвестиционными обязательствами выбирает наименьшую цену из следующих цен, установленных следующими методами и способами: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цена g-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товара (услуги) в i-м году поставки товара (оказания услуг), определяемая по формуле: </w:t>
      </w:r>
    </w:p>
    <w:p w:rsidR="00F333C7" w:rsidRDefault="009708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ЦТ</m:t>
          </m:r>
          <m:sSub>
            <m:sSubPr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sSubPr>
            <m:e>
              <m:d>
                <m:dPr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У</m:t>
                  </m:r>
                </m:e>
              </m:d>
            </m:e>
            <m: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g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 xml:space="preserve">= </m:t>
          </m:r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ЦТ</m:t>
          </m:r>
          <m:sSub>
            <m:sSubPr>
              <m:ctrlPr>
                <w:rPr>
                  <w:rFonts w:ascii="Cambria Math" w:eastAsia="Cambria Math" w:hAnsi="Cambria Math" w:cs="Cambria Math"/>
                  <w:color w:val="000000" w:themeColor="text1"/>
                  <w:sz w:val="28"/>
                </w:rPr>
              </m:ctrlPr>
            </m:sSubPr>
            <m:e>
              <m:d>
                <m:dPr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У</m:t>
                  </m:r>
                </m:e>
              </m:d>
            </m:e>
            <m:sub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g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 w:themeColor="text1"/>
                  <w:sz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ИПЦ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8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нту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 xml:space="preserve">× 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 w:themeColor="text1"/>
                  <w:sz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ИПЦ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8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нту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p>
              </m:sSubSup>
            </m:num>
            <m:den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="Cambria Math" w:hAnsi="Cambria Math" w:cs="Cambria Math"/>
                  <w:i/>
                  <w:color w:val="000000" w:themeColor="text1"/>
                  <w:sz w:val="28"/>
                  <w:lang w:val="en-US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 w:themeColor="text1"/>
                  <w:sz w:val="28"/>
                  <w:szCs w:val="28"/>
                </w:rPr>
                <m:t xml:space="preserve">1+ 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color w:val="000000" w:themeColor="text1"/>
                      <w:sz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 w:themeColor="text1"/>
                      <w:sz w:val="28"/>
                      <w:szCs w:val="28"/>
                    </w:rPr>
                    <m:t>100%</m:t>
                  </m:r>
                </m:den>
              </m:f>
            </m:e>
          </m:d>
          <m:r>
            <w:rPr>
              <w:rFonts w:ascii="Cambria Math" w:eastAsia="Cambria Math" w:hAnsi="Cambria Math" w:cs="Cambria Math"/>
              <w:color w:val="000000" w:themeColor="text1"/>
              <w:sz w:val="28"/>
              <w:szCs w:val="28"/>
            </w:rPr>
            <m:t xml:space="preserve">, </m:t>
          </m:r>
        </m:oMath>
      </m:oMathPara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где: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ЦТ</m:t>
        </m:r>
        <m:sSub>
          <m:sSubPr>
            <m:ctrlPr>
              <w:rPr>
                <w:rFonts w:ascii="Cambria Math" w:eastAsia="Cambria Math" w:hAnsi="Cambria Math" w:cs="Cambria Math"/>
                <w:color w:val="000000" w:themeColor="text1"/>
                <w:sz w:val="28"/>
              </w:rPr>
            </m:ctrlPr>
          </m:sSub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 w:themeColor="text1"/>
                    <w:sz w:val="28"/>
                    <w:szCs w:val="28"/>
                  </w:rPr>
                  <m:t>У</m:t>
                </m:r>
              </m:e>
            </m:d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g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цена g-го товара (услуги) в i-й год поставки товара (оказания услуги);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ЦТ</m:t>
        </m:r>
        <m:sSub>
          <m:sSubPr>
            <m:ctrlPr>
              <w:rPr>
                <w:rFonts w:ascii="Cambria Math" w:eastAsia="Cambria Math" w:hAnsi="Cambria Math" w:cs="Cambria Math"/>
                <w:color w:val="000000" w:themeColor="text1"/>
                <w:sz w:val="28"/>
              </w:rPr>
            </m:ctrlPr>
          </m:sSub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 w:themeColor="text1"/>
                    <w:sz w:val="28"/>
                    <w:szCs w:val="28"/>
                  </w:rPr>
                  <m:t>У</m:t>
                </m:r>
              </m:e>
            </m:d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g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цена g-го товара (услуги) без учета налога на добавленную стоимость, установленная по результатам электронного конкурса, по итогам которого заключен контракт со встречными инвестиционными обязательствами;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k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год действия контракта со встречными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инвестиционными обязательствами;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ИПЦ</m:t>
        </m:r>
        <m:sSubSup>
          <m:sSubSupPr>
            <m:ctrlPr>
              <w:rPr>
                <w:rFonts w:ascii="Cambria Math" w:eastAsia="Cambria Math" w:hAnsi="Cambria Math" w:cs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нту</m:t>
            </m:r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индекс потребительских цен на товары (услуги) (декабрь к декабрю предыдущего года в процентах) за период с первого года действия контракта со встречными инвестиционными обязательствами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год) до календарного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i-2 (включительно), предшествующего предыдущему году поставки товара (оказания услуги), нарастающим итогом, публикуемый Территориальным органом Федеральной службы государственной статистики по Новосибирской области;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 w:themeColor="text1"/>
            <w:sz w:val="28"/>
            <w:szCs w:val="28"/>
          </w:rPr>
          <m:t>ИПЦ</m:t>
        </m:r>
        <m:sSubSup>
          <m:sSubSupPr>
            <m:ctrlPr>
              <w:rPr>
                <w:rFonts w:ascii="Cambria Math" w:eastAsia="Cambria Math" w:hAnsi="Cambria Math" w:cs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нту</m:t>
            </m:r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  <m:t>1</m:t>
            </m:r>
          </m:sup>
        </m:sSubSup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прогнозный индекс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потребительских цен на товары (услуги), содержащийся в Сценарных условиях функционирования экономики Российской Федерации и основных параметрах прогноза социально-экономического развития Российской Федерации на среднесрочный период, применяемый для целей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осуществления закупок (в процентах) на календарный год i-1, предшествующего году поставки товара (оказания услуг); 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– ставка налога на добавленную стоимость, применяемая при реализации изделий по соответствующим категориям (в процентах).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цена g-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ара (услуги) в i-м году поставки товара (оказания услуг), определяемая с учетом актов Российской Федерации, Новосибирской области, регулирующих цены на товары, услуги, увеличенная на сумму налога на добавленную стоимость. 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 цена g-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товара (услуги) в i-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году поставки товара (оказания услуг), определяемая на основании информации о рыночных ценах идентичных товаров (услуг), планируемых к закупкам, или при их отсутствии однородных товаров (услуг), включая определение цены как среднее значение из цен контра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ктов, содержащихся в реестре государственных контрактов, заключенных заказчиками Новосибирской области на поставку идентичного (однородного) товара (оказание услуги), в течение последних трех лет. </w:t>
      </w:r>
    </w:p>
    <w:p w:rsidR="00F333C7" w:rsidRDefault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цена g-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товара (услуги) в i-м году поставки товара (о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казания услуг), определяемая как сумма произведенных затрат и обычной для определенной сферы деятельности прибыли, но не более 10 %. При определении произведенных затрат учитываются обычные в подобных случаях прямые и косвенные затраты на производство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приобретение и (или) реализацию товаров, услуг, затраты на транспортировку, хранение, страхование и иные затраты.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об обычной прибыли для определенной сферы деятельности может быть получена заказчиком исходя из анализа контрактов, размещенных в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диной информационной системе в сфере закупок, из других общедоступных источников информации, в том числе информации информационно-ценовых агентств, общедоступных результатов изучения рынка, а также результатов изучения рынка, проведенного по инициативе зак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азчика.</w:t>
      </w:r>
    </w:p>
    <w:p w:rsidR="00F333C7" w:rsidRDefault="00F33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33C7" w:rsidRDefault="00F33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33C7" w:rsidRDefault="00F33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33C7" w:rsidRDefault="00970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F333C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567" w:bottom="1134" w:left="1417" w:header="73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A2" w:rsidRDefault="009708A2">
      <w:pPr>
        <w:rPr>
          <w:rFonts w:ascii="LiberationSerif" w:eastAsia="LiberationSerif" w:hAnsi="LiberationSerif" w:cs="LiberationSerif"/>
          <w:sz w:val="24"/>
        </w:rPr>
      </w:pPr>
      <w:r>
        <w:rPr>
          <w:rFonts w:ascii="LiberationSerif" w:eastAsia="LiberationSerif" w:hAnsi="LiberationSerif" w:cs="LiberationSerif"/>
          <w:sz w:val="24"/>
        </w:rPr>
        <w:separator/>
      </w:r>
    </w:p>
  </w:endnote>
  <w:endnote w:type="continuationSeparator" w:id="0">
    <w:p w:rsidR="009708A2" w:rsidRDefault="009708A2">
      <w:pPr>
        <w:rPr>
          <w:rFonts w:ascii="LiberationSerif" w:eastAsia="LiberationSerif" w:hAnsi="LiberationSerif" w:cs="LiberationSerif"/>
          <w:sz w:val="24"/>
        </w:rPr>
      </w:pPr>
      <w:r>
        <w:rPr>
          <w:rFonts w:ascii="LiberationSerif" w:eastAsia="LiberationSerif" w:hAnsi="LiberationSerif" w:cs="LiberationSerif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ans">
    <w:charset w:val="00"/>
    <w:family w:val="auto"/>
    <w:pitch w:val="default"/>
  </w:font>
  <w:font w:name="CourierNew">
    <w:altName w:val="Courier Ne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7" w:rsidRDefault="00F333C7">
    <w:pPr>
      <w:pStyle w:val="ConsPlusNormal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7" w:rsidRDefault="00F333C7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A2" w:rsidRDefault="009708A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footnote>
  <w:footnote w:type="continuationSeparator" w:id="0">
    <w:p w:rsidR="009708A2" w:rsidRDefault="009708A2">
      <w:pPr>
        <w:rPr>
          <w:rFonts w:ascii="LiberationSerif" w:eastAsia="LiberationSerif" w:hAnsi="LiberationSerif" w:cs="LiberationSerif"/>
          <w:sz w:val="24"/>
        </w:rPr>
      </w:pPr>
      <w:r>
        <w:rPr>
          <w:rFonts w:ascii="LiberationSerif" w:eastAsia="LiberationSerif" w:hAnsi="LiberationSerif" w:cs="LiberationSerif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7" w:rsidRDefault="009708A2">
    <w:pPr>
      <w:pStyle w:val="12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C5E0B" w:rsidRPr="009C5E0B">
      <w:rPr>
        <w:rFonts w:ascii="Times New Roman" w:eastAsia="Times New Roman" w:hAnsi="Times New Roman" w:cs="Times New Roman"/>
        <w:noProof/>
        <w:sz w:val="28"/>
        <w:szCs w:val="28"/>
      </w:rPr>
      <w:t>4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333C7" w:rsidRDefault="00F333C7">
    <w:pPr>
      <w:pStyle w:val="12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7" w:rsidRDefault="00F333C7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EC"/>
    <w:multiLevelType w:val="hybridMultilevel"/>
    <w:tmpl w:val="044405FE"/>
    <w:lvl w:ilvl="0" w:tplc="1CC88608">
      <w:start w:val="1"/>
      <w:numFmt w:val="decimal"/>
      <w:lvlText w:val="%1."/>
      <w:lvlJc w:val="left"/>
      <w:pPr>
        <w:ind w:left="1429" w:hanging="360"/>
      </w:pPr>
    </w:lvl>
    <w:lvl w:ilvl="1" w:tplc="577C8842">
      <w:start w:val="1"/>
      <w:numFmt w:val="lowerLetter"/>
      <w:lvlText w:val="%2."/>
      <w:lvlJc w:val="left"/>
      <w:pPr>
        <w:ind w:left="2149" w:hanging="360"/>
      </w:pPr>
    </w:lvl>
    <w:lvl w:ilvl="2" w:tplc="D29C525C">
      <w:start w:val="1"/>
      <w:numFmt w:val="lowerRoman"/>
      <w:lvlText w:val="%3."/>
      <w:lvlJc w:val="right"/>
      <w:pPr>
        <w:ind w:left="2869" w:hanging="180"/>
      </w:pPr>
    </w:lvl>
    <w:lvl w:ilvl="3" w:tplc="16146E6C">
      <w:start w:val="1"/>
      <w:numFmt w:val="decimal"/>
      <w:lvlText w:val="%4."/>
      <w:lvlJc w:val="left"/>
      <w:pPr>
        <w:ind w:left="3589" w:hanging="360"/>
      </w:pPr>
    </w:lvl>
    <w:lvl w:ilvl="4" w:tplc="822C46A8">
      <w:start w:val="1"/>
      <w:numFmt w:val="lowerLetter"/>
      <w:lvlText w:val="%5."/>
      <w:lvlJc w:val="left"/>
      <w:pPr>
        <w:ind w:left="4309" w:hanging="360"/>
      </w:pPr>
    </w:lvl>
    <w:lvl w:ilvl="5" w:tplc="E6CE0320">
      <w:start w:val="1"/>
      <w:numFmt w:val="lowerRoman"/>
      <w:lvlText w:val="%6."/>
      <w:lvlJc w:val="right"/>
      <w:pPr>
        <w:ind w:left="5029" w:hanging="180"/>
      </w:pPr>
    </w:lvl>
    <w:lvl w:ilvl="6" w:tplc="2ED2B3E6">
      <w:start w:val="1"/>
      <w:numFmt w:val="decimal"/>
      <w:lvlText w:val="%7."/>
      <w:lvlJc w:val="left"/>
      <w:pPr>
        <w:ind w:left="5749" w:hanging="360"/>
      </w:pPr>
    </w:lvl>
    <w:lvl w:ilvl="7" w:tplc="11728B02">
      <w:start w:val="1"/>
      <w:numFmt w:val="lowerLetter"/>
      <w:lvlText w:val="%8."/>
      <w:lvlJc w:val="left"/>
      <w:pPr>
        <w:ind w:left="6469" w:hanging="360"/>
      </w:pPr>
    </w:lvl>
    <w:lvl w:ilvl="8" w:tplc="5738663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E89"/>
    <w:multiLevelType w:val="multilevel"/>
    <w:tmpl w:val="017C723A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4C5E72"/>
    <w:multiLevelType w:val="hybridMultilevel"/>
    <w:tmpl w:val="0608DAA2"/>
    <w:lvl w:ilvl="0" w:tplc="047E9366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4E8A9102">
      <w:start w:val="1"/>
      <w:numFmt w:val="decimal"/>
      <w:lvlText w:val="%2."/>
      <w:lvlJc w:val="right"/>
      <w:pPr>
        <w:ind w:left="1429" w:hanging="360"/>
      </w:pPr>
    </w:lvl>
    <w:lvl w:ilvl="2" w:tplc="9790F3FC">
      <w:start w:val="1"/>
      <w:numFmt w:val="decimal"/>
      <w:lvlText w:val="%3."/>
      <w:lvlJc w:val="right"/>
      <w:pPr>
        <w:ind w:left="2149" w:hanging="180"/>
      </w:pPr>
    </w:lvl>
    <w:lvl w:ilvl="3" w:tplc="B9D01756">
      <w:start w:val="1"/>
      <w:numFmt w:val="decimal"/>
      <w:lvlText w:val="%4."/>
      <w:lvlJc w:val="right"/>
      <w:pPr>
        <w:ind w:left="2869" w:hanging="360"/>
      </w:pPr>
    </w:lvl>
    <w:lvl w:ilvl="4" w:tplc="9B408382">
      <w:start w:val="1"/>
      <w:numFmt w:val="decimal"/>
      <w:lvlText w:val="%5."/>
      <w:lvlJc w:val="right"/>
      <w:pPr>
        <w:ind w:left="3589" w:hanging="360"/>
      </w:pPr>
    </w:lvl>
    <w:lvl w:ilvl="5" w:tplc="A532F090">
      <w:start w:val="1"/>
      <w:numFmt w:val="decimal"/>
      <w:lvlText w:val="%6."/>
      <w:lvlJc w:val="right"/>
      <w:pPr>
        <w:ind w:left="4309" w:hanging="180"/>
      </w:pPr>
    </w:lvl>
    <w:lvl w:ilvl="6" w:tplc="51B03D16">
      <w:start w:val="1"/>
      <w:numFmt w:val="decimal"/>
      <w:lvlText w:val="%7."/>
      <w:lvlJc w:val="right"/>
      <w:pPr>
        <w:ind w:left="5029" w:hanging="360"/>
      </w:pPr>
    </w:lvl>
    <w:lvl w:ilvl="7" w:tplc="FE9423D0">
      <w:start w:val="1"/>
      <w:numFmt w:val="decimal"/>
      <w:lvlText w:val="%8."/>
      <w:lvlJc w:val="right"/>
      <w:pPr>
        <w:ind w:left="5749" w:hanging="360"/>
      </w:pPr>
    </w:lvl>
    <w:lvl w:ilvl="8" w:tplc="3FB09998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1DF57153"/>
    <w:multiLevelType w:val="multilevel"/>
    <w:tmpl w:val="A81E318E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B63AB8"/>
    <w:multiLevelType w:val="hybridMultilevel"/>
    <w:tmpl w:val="BAD890B6"/>
    <w:lvl w:ilvl="0" w:tplc="001EFDB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D3E6928">
      <w:start w:val="1"/>
      <w:numFmt w:val="decimal"/>
      <w:lvlText w:val="%2."/>
      <w:lvlJc w:val="right"/>
      <w:pPr>
        <w:ind w:left="1429" w:hanging="360"/>
      </w:pPr>
    </w:lvl>
    <w:lvl w:ilvl="2" w:tplc="C26ACFFE">
      <w:start w:val="1"/>
      <w:numFmt w:val="decimal"/>
      <w:lvlText w:val="%3."/>
      <w:lvlJc w:val="right"/>
      <w:pPr>
        <w:ind w:left="2149" w:hanging="180"/>
      </w:pPr>
    </w:lvl>
    <w:lvl w:ilvl="3" w:tplc="DDB29BD4">
      <w:start w:val="1"/>
      <w:numFmt w:val="decimal"/>
      <w:lvlText w:val="%4."/>
      <w:lvlJc w:val="right"/>
      <w:pPr>
        <w:ind w:left="2869" w:hanging="360"/>
      </w:pPr>
    </w:lvl>
    <w:lvl w:ilvl="4" w:tplc="BA32B2D0">
      <w:start w:val="1"/>
      <w:numFmt w:val="decimal"/>
      <w:lvlText w:val="%5."/>
      <w:lvlJc w:val="right"/>
      <w:pPr>
        <w:ind w:left="3589" w:hanging="360"/>
      </w:pPr>
    </w:lvl>
    <w:lvl w:ilvl="5" w:tplc="81F89164">
      <w:start w:val="1"/>
      <w:numFmt w:val="decimal"/>
      <w:lvlText w:val="%6."/>
      <w:lvlJc w:val="right"/>
      <w:pPr>
        <w:ind w:left="4309" w:hanging="180"/>
      </w:pPr>
    </w:lvl>
    <w:lvl w:ilvl="6" w:tplc="3D2876C8">
      <w:start w:val="1"/>
      <w:numFmt w:val="decimal"/>
      <w:lvlText w:val="%7."/>
      <w:lvlJc w:val="right"/>
      <w:pPr>
        <w:ind w:left="5029" w:hanging="360"/>
      </w:pPr>
    </w:lvl>
    <w:lvl w:ilvl="7" w:tplc="6F0CA5D8">
      <w:start w:val="1"/>
      <w:numFmt w:val="decimal"/>
      <w:lvlText w:val="%8."/>
      <w:lvlJc w:val="right"/>
      <w:pPr>
        <w:ind w:left="5749" w:hanging="360"/>
      </w:pPr>
    </w:lvl>
    <w:lvl w:ilvl="8" w:tplc="C384149E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460E3C5A"/>
    <w:multiLevelType w:val="multilevel"/>
    <w:tmpl w:val="88BAEE4A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77A52F3"/>
    <w:multiLevelType w:val="multilevel"/>
    <w:tmpl w:val="3244DE70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3A5A20"/>
    <w:multiLevelType w:val="multilevel"/>
    <w:tmpl w:val="F48656A0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95C38A0"/>
    <w:multiLevelType w:val="hybridMultilevel"/>
    <w:tmpl w:val="183C2400"/>
    <w:lvl w:ilvl="0" w:tplc="663EF6C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D562A800">
      <w:start w:val="1"/>
      <w:numFmt w:val="decimal"/>
      <w:lvlText w:val="%2."/>
      <w:lvlJc w:val="right"/>
      <w:pPr>
        <w:ind w:left="1429" w:hanging="360"/>
      </w:pPr>
    </w:lvl>
    <w:lvl w:ilvl="2" w:tplc="9362A4D2">
      <w:start w:val="1"/>
      <w:numFmt w:val="decimal"/>
      <w:lvlText w:val="%3."/>
      <w:lvlJc w:val="right"/>
      <w:pPr>
        <w:ind w:left="2149" w:hanging="180"/>
      </w:pPr>
    </w:lvl>
    <w:lvl w:ilvl="3" w:tplc="A566ED88">
      <w:start w:val="1"/>
      <w:numFmt w:val="decimal"/>
      <w:lvlText w:val="%4."/>
      <w:lvlJc w:val="right"/>
      <w:pPr>
        <w:ind w:left="2869" w:hanging="360"/>
      </w:pPr>
    </w:lvl>
    <w:lvl w:ilvl="4" w:tplc="2D76668E">
      <w:start w:val="1"/>
      <w:numFmt w:val="decimal"/>
      <w:lvlText w:val="%5."/>
      <w:lvlJc w:val="right"/>
      <w:pPr>
        <w:ind w:left="3589" w:hanging="360"/>
      </w:pPr>
    </w:lvl>
    <w:lvl w:ilvl="5" w:tplc="EC0E9CE4">
      <w:start w:val="1"/>
      <w:numFmt w:val="decimal"/>
      <w:lvlText w:val="%6."/>
      <w:lvlJc w:val="right"/>
      <w:pPr>
        <w:ind w:left="4309" w:hanging="180"/>
      </w:pPr>
    </w:lvl>
    <w:lvl w:ilvl="6" w:tplc="4AE83516">
      <w:start w:val="1"/>
      <w:numFmt w:val="decimal"/>
      <w:lvlText w:val="%7."/>
      <w:lvlJc w:val="right"/>
      <w:pPr>
        <w:ind w:left="5029" w:hanging="360"/>
      </w:pPr>
    </w:lvl>
    <w:lvl w:ilvl="7" w:tplc="ED0462D4">
      <w:start w:val="1"/>
      <w:numFmt w:val="decimal"/>
      <w:lvlText w:val="%8."/>
      <w:lvlJc w:val="right"/>
      <w:pPr>
        <w:ind w:left="5749" w:hanging="360"/>
      </w:pPr>
    </w:lvl>
    <w:lvl w:ilvl="8" w:tplc="EEF855E2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7C995F3A"/>
    <w:multiLevelType w:val="multilevel"/>
    <w:tmpl w:val="C5F4B48E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93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C7"/>
    <w:rsid w:val="009708A2"/>
    <w:rsid w:val="009C5E0B"/>
    <w:rsid w:val="00F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48C0F-069A-4D3D-8D3B-78DB5343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Serif" w:eastAsia="LiberationSerif" w:hAnsi="LiberationSerif" w:cs="LiberationSerif"/>
        <w:sz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</w:rPr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</w:rPr>
  </w:style>
  <w:style w:type="paragraph" w:customStyle="1" w:styleId="210">
    <w:name w:val="Заголовок 21"/>
    <w:basedOn w:val="a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</w:rPr>
  </w:style>
  <w:style w:type="paragraph" w:customStyle="1" w:styleId="410">
    <w:name w:val="Заголовок 41"/>
    <w:basedOn w:val="a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sz w:val="26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b/>
      <w:sz w:val="26"/>
    </w:rPr>
  </w:style>
  <w:style w:type="paragraph" w:customStyle="1" w:styleId="510">
    <w:name w:val="Заголовок 51"/>
    <w:basedOn w:val="a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sz w:val="24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sz w:val="24"/>
    </w:rPr>
  </w:style>
  <w:style w:type="paragraph" w:customStyle="1" w:styleId="61">
    <w:name w:val="Заголовок 61"/>
    <w:basedOn w:val="a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sz w:val="22"/>
    </w:rPr>
  </w:style>
  <w:style w:type="paragraph" w:customStyle="1" w:styleId="71">
    <w:name w:val="Заголовок 71"/>
    <w:basedOn w:val="a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i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i/>
      <w:sz w:val="22"/>
    </w:rPr>
  </w:style>
  <w:style w:type="paragraph" w:customStyle="1" w:styleId="81">
    <w:name w:val="Заголовок 81"/>
    <w:basedOn w:val="a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sz w:val="22"/>
    </w:rPr>
  </w:style>
  <w:style w:type="paragraph" w:customStyle="1" w:styleId="91">
    <w:name w:val="Заголовок 91"/>
    <w:basedOn w:val="a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sz w:val="21"/>
    </w:rPr>
  </w:style>
  <w:style w:type="character" w:customStyle="1" w:styleId="90">
    <w:name w:val="Заголовок 9 Знак"/>
    <w:basedOn w:val="a0"/>
    <w:link w:val="9"/>
    <w:rPr>
      <w:rFonts w:ascii="Arial" w:eastAsia="Arial" w:hAnsi="Arial" w:cs="Arial"/>
      <w:i/>
      <w:sz w:val="21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LiberationSerif" w:eastAsia="LiberationSerif" w:hAnsi="LiberationSerif" w:cs="LiberationSerif"/>
      <w:sz w:val="24"/>
    </w:rPr>
  </w:style>
  <w:style w:type="paragraph" w:styleId="a5">
    <w:name w:val="No Spacing"/>
    <w:qFormat/>
  </w:style>
  <w:style w:type="paragraph" w:styleId="a6">
    <w:name w:val="Title"/>
    <w:basedOn w:val="a"/>
    <w:pPr>
      <w:spacing w:before="120" w:after="120"/>
    </w:pPr>
    <w:rPr>
      <w:i/>
      <w:sz w:val="24"/>
    </w:rPr>
  </w:style>
  <w:style w:type="character" w:customStyle="1" w:styleId="TitleChar">
    <w:name w:val="Title Char"/>
    <w:basedOn w:val="a0"/>
    <w:rPr>
      <w:rFonts w:ascii="LiberationSerif" w:eastAsia="LiberationSerif" w:hAnsi="LiberationSerif" w:cs="LiberationSerif"/>
      <w:sz w:val="48"/>
    </w:rPr>
  </w:style>
  <w:style w:type="paragraph" w:styleId="a7">
    <w:name w:val="Subtitle"/>
    <w:basedOn w:val="a"/>
    <w:qFormat/>
    <w:pPr>
      <w:spacing w:before="200" w:line="240" w:lineRule="auto"/>
    </w:pPr>
    <w:rPr>
      <w:rFonts w:ascii="LiberationSerif" w:eastAsia="LiberationSerif" w:hAnsi="LiberationSerif" w:cs="LiberationSerif"/>
      <w:sz w:val="24"/>
    </w:rPr>
  </w:style>
  <w:style w:type="character" w:customStyle="1" w:styleId="SubtitleChar">
    <w:name w:val="Subtitle Char"/>
    <w:basedOn w:val="a0"/>
    <w:rPr>
      <w:rFonts w:ascii="LiberationSerif" w:eastAsia="LiberationSerif" w:hAnsi="LiberationSerif" w:cs="LiberationSerif"/>
      <w:sz w:val="24"/>
    </w:rPr>
  </w:style>
  <w:style w:type="paragraph" w:styleId="22">
    <w:name w:val="Quote"/>
    <w:basedOn w:val="a"/>
    <w:qFormat/>
    <w:pPr>
      <w:spacing w:after="0" w:line="240" w:lineRule="auto"/>
      <w:ind w:left="720"/>
    </w:pPr>
    <w:rPr>
      <w:rFonts w:ascii="LiberationSerif" w:eastAsia="LiberationSerif" w:hAnsi="LiberationSerif" w:cs="LiberationSerif"/>
      <w:i/>
      <w:sz w:val="24"/>
    </w:rPr>
  </w:style>
  <w:style w:type="character" w:customStyle="1" w:styleId="QuoteChar">
    <w:name w:val="Quote Char"/>
    <w:rPr>
      <w:rFonts w:ascii="LiberationSerif" w:eastAsia="LiberationSerif" w:hAnsi="LiberationSerif" w:cs="LiberationSerif"/>
      <w:i/>
      <w:sz w:val="24"/>
    </w:rPr>
  </w:style>
  <w:style w:type="paragraph" w:styleId="a8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/>
    </w:pPr>
    <w:rPr>
      <w:rFonts w:ascii="LiberationSerif" w:eastAsia="LiberationSerif" w:hAnsi="LiberationSerif" w:cs="LiberationSerif"/>
      <w:i/>
      <w:sz w:val="24"/>
    </w:rPr>
  </w:style>
  <w:style w:type="character" w:customStyle="1" w:styleId="IntenseQuoteChar">
    <w:name w:val="Intense Quote Char"/>
    <w:rPr>
      <w:rFonts w:ascii="LiberationSerif" w:eastAsia="LiberationSerif" w:hAnsi="LiberationSerif" w:cs="LiberationSerif"/>
      <w:i/>
      <w:sz w:val="24"/>
    </w:rPr>
  </w:style>
  <w:style w:type="paragraph" w:customStyle="1" w:styleId="12">
    <w:name w:val="Верхний колонтитул1"/>
    <w:basedOn w:val="a"/>
    <w:unhideWhenUsed/>
    <w:pPr>
      <w:tabs>
        <w:tab w:val="center" w:pos="7143"/>
        <w:tab w:val="right" w:pos="14287"/>
      </w:tabs>
      <w:spacing w:after="0" w:line="240" w:lineRule="auto"/>
    </w:pPr>
    <w:rPr>
      <w:rFonts w:ascii="LiberationSerif" w:eastAsia="LiberationSerif" w:hAnsi="LiberationSerif" w:cs="LiberationSerif"/>
      <w:sz w:val="24"/>
    </w:rPr>
  </w:style>
  <w:style w:type="character" w:customStyle="1" w:styleId="HeaderChar">
    <w:name w:val="Header Char"/>
    <w:basedOn w:val="a0"/>
    <w:rPr>
      <w:rFonts w:ascii="LiberationSerif" w:eastAsia="LiberationSerif" w:hAnsi="LiberationSerif" w:cs="LiberationSerif"/>
      <w:sz w:val="24"/>
    </w:rPr>
  </w:style>
  <w:style w:type="paragraph" w:customStyle="1" w:styleId="13">
    <w:name w:val="Нижний колонтитул1"/>
    <w:basedOn w:val="a"/>
    <w:unhideWhenUsed/>
    <w:pPr>
      <w:tabs>
        <w:tab w:val="center" w:pos="7143"/>
        <w:tab w:val="right" w:pos="14287"/>
      </w:tabs>
      <w:spacing w:after="0" w:line="240" w:lineRule="auto"/>
    </w:pPr>
    <w:rPr>
      <w:rFonts w:ascii="LiberationSerif" w:eastAsia="LiberationSerif" w:hAnsi="LiberationSerif" w:cs="LiberationSerif"/>
      <w:sz w:val="24"/>
    </w:rPr>
  </w:style>
  <w:style w:type="character" w:customStyle="1" w:styleId="FooterChar">
    <w:name w:val="Footer Char"/>
    <w:basedOn w:val="a0"/>
    <w:rPr>
      <w:rFonts w:ascii="LiberationSerif" w:eastAsia="LiberationSerif" w:hAnsi="LiberationSerif" w:cs="LiberationSerif"/>
      <w:sz w:val="24"/>
    </w:rPr>
  </w:style>
  <w:style w:type="paragraph" w:customStyle="1" w:styleId="14">
    <w:name w:val="Название объекта1"/>
    <w:basedOn w:val="a"/>
    <w:semiHidden/>
    <w:unhideWhenUsed/>
    <w:qFormat/>
    <w:pPr>
      <w:spacing w:after="0"/>
    </w:pPr>
    <w:rPr>
      <w:rFonts w:ascii="LiberationSerif" w:eastAsia="LiberationSerif" w:hAnsi="LiberationSerif" w:cs="LiberationSerif"/>
      <w:b/>
      <w:color w:val="4F81BD"/>
      <w:sz w:val="18"/>
    </w:rPr>
  </w:style>
  <w:style w:type="character" w:customStyle="1" w:styleId="CaptionChar">
    <w:name w:val="Caption Char"/>
    <w:rPr>
      <w:rFonts w:ascii="LiberationSerif" w:eastAsia="LiberationSerif" w:hAnsi="LiberationSerif" w:cs="LiberationSerif"/>
      <w:sz w:val="24"/>
    </w:rPr>
  </w:style>
  <w:style w:type="table" w:styleId="a9">
    <w:name w:val="Table Grid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F2DCD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EAF0D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D9969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91CD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F9BF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nhideWhenUsed/>
    <w:rPr>
      <w:rFonts w:ascii="LiberationSerif" w:eastAsia="LiberationSerif" w:hAnsi="LiberationSerif" w:cs="LiberationSerif"/>
      <w:color w:val="0000FF"/>
      <w:sz w:val="24"/>
      <w:u w:val="single"/>
    </w:rPr>
  </w:style>
  <w:style w:type="paragraph" w:styleId="ab">
    <w:name w:val="footnote text"/>
    <w:basedOn w:val="a"/>
    <w:semiHidden/>
    <w:unhideWhenUsed/>
    <w:pPr>
      <w:spacing w:after="40" w:line="240" w:lineRule="auto"/>
    </w:pPr>
    <w:rPr>
      <w:rFonts w:ascii="LiberationSerif" w:eastAsia="LiberationSerif" w:hAnsi="LiberationSerif" w:cs="LiberationSerif"/>
      <w:sz w:val="18"/>
    </w:rPr>
  </w:style>
  <w:style w:type="character" w:customStyle="1" w:styleId="FootnoteTextChar">
    <w:name w:val="Footnote Text Char"/>
    <w:rPr>
      <w:rFonts w:ascii="LiberationSerif" w:eastAsia="LiberationSerif" w:hAnsi="LiberationSerif" w:cs="LiberationSerif"/>
      <w:sz w:val="18"/>
    </w:rPr>
  </w:style>
  <w:style w:type="character" w:styleId="ac">
    <w:name w:val="footnote reference"/>
    <w:basedOn w:val="a0"/>
    <w:unhideWhenUsed/>
    <w:rPr>
      <w:rFonts w:ascii="LiberationSerif" w:eastAsia="LiberationSerif" w:hAnsi="LiberationSerif" w:cs="LiberationSerif"/>
      <w:sz w:val="24"/>
      <w:vertAlign w:val="superscript"/>
    </w:rPr>
  </w:style>
  <w:style w:type="paragraph" w:styleId="ad">
    <w:name w:val="endnote text"/>
    <w:basedOn w:val="a"/>
    <w:semiHidden/>
    <w:unhideWhenUsed/>
    <w:pPr>
      <w:spacing w:after="0" w:line="240" w:lineRule="auto"/>
    </w:pPr>
    <w:rPr>
      <w:rFonts w:ascii="LiberationSerif" w:eastAsia="LiberationSerif" w:hAnsi="LiberationSerif" w:cs="LiberationSerif"/>
      <w:sz w:val="20"/>
    </w:rPr>
  </w:style>
  <w:style w:type="character" w:customStyle="1" w:styleId="EndnoteTextChar">
    <w:name w:val="Endnote Text Char"/>
    <w:rPr>
      <w:rFonts w:ascii="LiberationSerif" w:eastAsia="LiberationSerif" w:hAnsi="LiberationSerif" w:cs="LiberationSerif"/>
      <w:sz w:val="20"/>
    </w:rPr>
  </w:style>
  <w:style w:type="character" w:styleId="ae">
    <w:name w:val="endnote reference"/>
    <w:basedOn w:val="a0"/>
    <w:semiHidden/>
    <w:unhideWhenUsed/>
    <w:rPr>
      <w:rFonts w:ascii="LiberationSerif" w:eastAsia="LiberationSerif" w:hAnsi="LiberationSerif" w:cs="LiberationSerif"/>
      <w:sz w:val="24"/>
      <w:vertAlign w:val="superscript"/>
    </w:rPr>
  </w:style>
  <w:style w:type="paragraph" w:styleId="15">
    <w:name w:val="toc 1"/>
    <w:basedOn w:val="a"/>
    <w:unhideWhenUsed/>
    <w:pPr>
      <w:spacing w:after="57" w:line="240" w:lineRule="auto"/>
    </w:pPr>
    <w:rPr>
      <w:rFonts w:ascii="LiberationSerif" w:eastAsia="LiberationSerif" w:hAnsi="LiberationSerif" w:cs="LiberationSerif"/>
      <w:sz w:val="24"/>
    </w:rPr>
  </w:style>
  <w:style w:type="paragraph" w:styleId="23">
    <w:name w:val="toc 2"/>
    <w:basedOn w:val="a"/>
    <w:unhideWhenUsed/>
    <w:pPr>
      <w:spacing w:after="57" w:line="240" w:lineRule="auto"/>
      <w:ind w:left="283"/>
    </w:pPr>
    <w:rPr>
      <w:rFonts w:ascii="LiberationSerif" w:eastAsia="LiberationSerif" w:hAnsi="LiberationSerif" w:cs="LiberationSerif"/>
      <w:sz w:val="24"/>
    </w:rPr>
  </w:style>
  <w:style w:type="paragraph" w:styleId="32">
    <w:name w:val="toc 3"/>
    <w:basedOn w:val="a"/>
    <w:unhideWhenUsed/>
    <w:pPr>
      <w:spacing w:after="57" w:line="240" w:lineRule="auto"/>
      <w:ind w:left="567"/>
    </w:pPr>
    <w:rPr>
      <w:rFonts w:ascii="LiberationSerif" w:eastAsia="LiberationSerif" w:hAnsi="LiberationSerif" w:cs="LiberationSerif"/>
      <w:sz w:val="24"/>
    </w:rPr>
  </w:style>
  <w:style w:type="paragraph" w:styleId="42">
    <w:name w:val="toc 4"/>
    <w:basedOn w:val="a"/>
    <w:unhideWhenUsed/>
    <w:pPr>
      <w:spacing w:after="57" w:line="240" w:lineRule="auto"/>
      <w:ind w:left="850"/>
    </w:pPr>
    <w:rPr>
      <w:rFonts w:ascii="LiberationSerif" w:eastAsia="LiberationSerif" w:hAnsi="LiberationSerif" w:cs="LiberationSerif"/>
      <w:sz w:val="24"/>
    </w:rPr>
  </w:style>
  <w:style w:type="paragraph" w:styleId="52">
    <w:name w:val="toc 5"/>
    <w:basedOn w:val="a"/>
    <w:unhideWhenUsed/>
    <w:pPr>
      <w:spacing w:after="57" w:line="240" w:lineRule="auto"/>
      <w:ind w:left="1134"/>
    </w:pPr>
    <w:rPr>
      <w:rFonts w:ascii="LiberationSerif" w:eastAsia="LiberationSerif" w:hAnsi="LiberationSerif" w:cs="LiberationSerif"/>
      <w:sz w:val="24"/>
    </w:rPr>
  </w:style>
  <w:style w:type="paragraph" w:styleId="62">
    <w:name w:val="toc 6"/>
    <w:basedOn w:val="a"/>
    <w:unhideWhenUsed/>
    <w:pPr>
      <w:spacing w:after="57" w:line="240" w:lineRule="auto"/>
      <w:ind w:left="1417"/>
    </w:pPr>
    <w:rPr>
      <w:rFonts w:ascii="LiberationSerif" w:eastAsia="LiberationSerif" w:hAnsi="LiberationSerif" w:cs="LiberationSerif"/>
      <w:sz w:val="24"/>
    </w:rPr>
  </w:style>
  <w:style w:type="paragraph" w:styleId="72">
    <w:name w:val="toc 7"/>
    <w:basedOn w:val="a"/>
    <w:unhideWhenUsed/>
    <w:pPr>
      <w:spacing w:after="57" w:line="240" w:lineRule="auto"/>
      <w:ind w:left="1701"/>
    </w:pPr>
    <w:rPr>
      <w:rFonts w:ascii="LiberationSerif" w:eastAsia="LiberationSerif" w:hAnsi="LiberationSerif" w:cs="LiberationSerif"/>
      <w:sz w:val="24"/>
    </w:rPr>
  </w:style>
  <w:style w:type="paragraph" w:styleId="82">
    <w:name w:val="toc 8"/>
    <w:basedOn w:val="a"/>
    <w:unhideWhenUsed/>
    <w:pPr>
      <w:spacing w:after="57" w:line="240" w:lineRule="auto"/>
      <w:ind w:left="1984"/>
    </w:pPr>
    <w:rPr>
      <w:rFonts w:ascii="LiberationSerif" w:eastAsia="LiberationSerif" w:hAnsi="LiberationSerif" w:cs="LiberationSerif"/>
      <w:sz w:val="24"/>
    </w:rPr>
  </w:style>
  <w:style w:type="paragraph" w:styleId="92">
    <w:name w:val="toc 9"/>
    <w:basedOn w:val="a"/>
    <w:unhideWhenUsed/>
    <w:pPr>
      <w:spacing w:after="57" w:line="240" w:lineRule="auto"/>
      <w:ind w:left="2268"/>
    </w:pPr>
    <w:rPr>
      <w:rFonts w:ascii="LiberationSerif" w:eastAsia="LiberationSerif" w:hAnsi="LiberationSerif" w:cs="LiberationSerif"/>
      <w:sz w:val="24"/>
    </w:rPr>
  </w:style>
  <w:style w:type="paragraph" w:styleId="af">
    <w:name w:val="TOC Heading"/>
    <w:unhideWhenUsed/>
  </w:style>
  <w:style w:type="paragraph" w:styleId="af0">
    <w:name w:val="table of figures"/>
    <w:basedOn w:val="a"/>
    <w:unhideWhenUsed/>
    <w:pPr>
      <w:spacing w:after="0" w:line="240" w:lineRule="auto"/>
    </w:pPr>
    <w:rPr>
      <w:rFonts w:ascii="LiberationSerif" w:eastAsia="LiberationSerif" w:hAnsi="LiberationSerif" w:cs="LiberationSerif"/>
      <w:sz w:val="24"/>
    </w:rPr>
  </w:style>
  <w:style w:type="character" w:customStyle="1" w:styleId="af1">
    <w:name w:val="Верхний колонтитул Знак"/>
    <w:basedOn w:val="a0"/>
    <w:rPr>
      <w:rFonts w:ascii="LiberationSerif" w:eastAsia="LiberationSerif" w:hAnsi="LiberationSerif" w:cs="LiberationSerif"/>
      <w:sz w:val="24"/>
    </w:rPr>
  </w:style>
  <w:style w:type="character" w:customStyle="1" w:styleId="af2">
    <w:name w:val="Нижний колонтитул Знак"/>
    <w:basedOn w:val="a0"/>
    <w:rPr>
      <w:rFonts w:ascii="LiberationSerif" w:eastAsia="LiberationSerif" w:hAnsi="LiberationSerif" w:cs="LiberationSerif"/>
      <w:sz w:val="24"/>
    </w:rPr>
  </w:style>
  <w:style w:type="character" w:customStyle="1" w:styleId="ListLabel1">
    <w:name w:val="ListLabel 1"/>
    <w:rPr>
      <w:rFonts w:ascii="LiberationSerif" w:eastAsia="LiberationSerif" w:hAnsi="LiberationSerif" w:cs="LiberationSerif"/>
      <w:sz w:val="24"/>
    </w:rPr>
  </w:style>
  <w:style w:type="character" w:customStyle="1" w:styleId="ListLabel2">
    <w:name w:val="ListLabel 2"/>
    <w:rPr>
      <w:rFonts w:ascii="LiberationSerif" w:eastAsia="LiberationSerif" w:hAnsi="LiberationSerif" w:cs="LiberationSerif"/>
      <w:sz w:val="24"/>
    </w:rPr>
  </w:style>
  <w:style w:type="character" w:customStyle="1" w:styleId="ListLabel3">
    <w:name w:val="ListLabel 3"/>
    <w:rPr>
      <w:rFonts w:ascii="LiberationSerif" w:eastAsia="LiberationSerif" w:hAnsi="LiberationSerif" w:cs="LiberationSerif"/>
      <w:sz w:val="24"/>
    </w:rPr>
  </w:style>
  <w:style w:type="character" w:customStyle="1" w:styleId="ListLabel4">
    <w:name w:val="ListLabel 4"/>
    <w:rPr>
      <w:rFonts w:ascii="LiberationSerif" w:eastAsia="LiberationSerif" w:hAnsi="LiberationSerif" w:cs="LiberationSerif"/>
      <w:sz w:val="24"/>
    </w:rPr>
  </w:style>
  <w:style w:type="character" w:customStyle="1" w:styleId="ListLabel5">
    <w:name w:val="ListLabel 5"/>
    <w:rPr>
      <w:rFonts w:ascii="LiberationSerif" w:eastAsia="LiberationSerif" w:hAnsi="LiberationSerif" w:cs="LiberationSerif"/>
      <w:sz w:val="24"/>
    </w:rPr>
  </w:style>
  <w:style w:type="character" w:customStyle="1" w:styleId="ListLabel6">
    <w:name w:val="ListLabel 6"/>
    <w:rPr>
      <w:rFonts w:ascii="LiberationSerif" w:eastAsia="LiberationSerif" w:hAnsi="LiberationSerif" w:cs="LiberationSerif"/>
      <w:sz w:val="24"/>
    </w:rPr>
  </w:style>
  <w:style w:type="character" w:customStyle="1" w:styleId="ListLabel7">
    <w:name w:val="ListLabel 7"/>
    <w:rPr>
      <w:rFonts w:ascii="LiberationSerif" w:eastAsia="LiberationSerif" w:hAnsi="LiberationSerif" w:cs="LiberationSerif"/>
      <w:sz w:val="24"/>
    </w:rPr>
  </w:style>
  <w:style w:type="character" w:customStyle="1" w:styleId="ListLabel8">
    <w:name w:val="ListLabel 8"/>
    <w:rPr>
      <w:rFonts w:ascii="LiberationSerif" w:eastAsia="LiberationSerif" w:hAnsi="LiberationSerif" w:cs="LiberationSerif"/>
      <w:sz w:val="24"/>
    </w:rPr>
  </w:style>
  <w:style w:type="character" w:customStyle="1" w:styleId="ListLabel9">
    <w:name w:val="ListLabel 9"/>
    <w:rPr>
      <w:rFonts w:ascii="LiberationSerif" w:eastAsia="LiberationSerif" w:hAnsi="LiberationSerif" w:cs="LiberationSerif"/>
      <w:sz w:val="24"/>
    </w:rPr>
  </w:style>
  <w:style w:type="paragraph" w:customStyle="1" w:styleId="16">
    <w:name w:val="Заголовок1"/>
    <w:basedOn w:val="a"/>
    <w:pPr>
      <w:keepNext/>
      <w:spacing w:before="240" w:after="120"/>
    </w:pPr>
    <w:rPr>
      <w:rFonts w:ascii="LiberationSans" w:eastAsia="LiberationSans" w:hAnsi="LiberationSans" w:cs="LiberationSans"/>
      <w:sz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</w:style>
  <w:style w:type="paragraph" w:styleId="af5">
    <w:name w:val="index heading"/>
    <w:basedOn w:val="a"/>
  </w:style>
  <w:style w:type="paragraph" w:customStyle="1" w:styleId="17">
    <w:name w:val="Обычная таблица1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onsPlusNormal">
    <w:name w:val="ConsPlusNormal"/>
    <w:qFormat/>
    <w:rPr>
      <w:rFonts w:ascii="Arial" w:eastAsia="Arial" w:hAnsi="Arial" w:cs="Arial"/>
      <w:color w:val="000000"/>
      <w:sz w:val="20"/>
    </w:rPr>
  </w:style>
  <w:style w:type="paragraph" w:customStyle="1" w:styleId="ConsPlusNonformat">
    <w:name w:val="ConsPlusNonformat"/>
    <w:rPr>
      <w:rFonts w:ascii="CourierNew" w:eastAsia="CourierNew" w:hAnsi="CourierNew" w:cs="CourierNew"/>
      <w:color w:val="000000"/>
      <w:sz w:val="20"/>
    </w:rPr>
  </w:style>
  <w:style w:type="paragraph" w:customStyle="1" w:styleId="ConsPlusTitle">
    <w:name w:val="ConsPlusTitle"/>
    <w:rPr>
      <w:rFonts w:ascii="Arial" w:eastAsia="Arial" w:hAnsi="Arial" w:cs="Arial"/>
      <w:b/>
      <w:color w:val="000000"/>
      <w:sz w:val="20"/>
    </w:rPr>
  </w:style>
  <w:style w:type="paragraph" w:customStyle="1" w:styleId="ConsPlusCell">
    <w:name w:val="ConsPlusCell"/>
    <w:rPr>
      <w:rFonts w:ascii="CourierNew" w:eastAsia="CourierNew" w:hAnsi="CourierNew" w:cs="CourierNew"/>
      <w:color w:val="000000"/>
      <w:sz w:val="20"/>
    </w:rPr>
  </w:style>
  <w:style w:type="paragraph" w:customStyle="1" w:styleId="ConsPlusDocList">
    <w:name w:val="ConsPlusDocList"/>
    <w:rPr>
      <w:rFonts w:ascii="CourierNew" w:eastAsia="CourierNew" w:hAnsi="CourierNew" w:cs="CourierNew"/>
      <w:color w:val="000000"/>
      <w:sz w:val="20"/>
    </w:rPr>
  </w:style>
  <w:style w:type="paragraph" w:customStyle="1" w:styleId="ConsPlusTitlePage">
    <w:name w:val="ConsPlusTitlePage"/>
    <w:rPr>
      <w:rFonts w:ascii="Tahoma" w:eastAsia="Tahoma" w:hAnsi="Tahoma" w:cs="Tahoma"/>
      <w:color w:val="000000"/>
      <w:sz w:val="20"/>
    </w:rPr>
  </w:style>
  <w:style w:type="paragraph" w:customStyle="1" w:styleId="ConsPlusJurTerm">
    <w:name w:val="ConsPlusJurTerm"/>
    <w:rPr>
      <w:rFonts w:ascii="Arial" w:eastAsia="Arial" w:hAnsi="Arial" w:cs="Arial"/>
      <w:color w:val="000000"/>
      <w:sz w:val="26"/>
    </w:rPr>
  </w:style>
  <w:style w:type="paragraph" w:customStyle="1" w:styleId="ConsPlusTextList">
    <w:name w:val="ConsPlusTextList"/>
    <w:rPr>
      <w:rFonts w:ascii="Arial" w:eastAsia="Arial" w:hAnsi="Arial" w:cs="Arial"/>
      <w:color w:val="000000"/>
      <w:sz w:val="20"/>
    </w:rPr>
  </w:style>
  <w:style w:type="paragraph" w:customStyle="1" w:styleId="ConsPlusTextList1">
    <w:name w:val="ConsPlusTextList1"/>
    <w:rPr>
      <w:rFonts w:ascii="Arial" w:eastAsia="Arial" w:hAnsi="Arial" w:cs="Arial"/>
      <w:color w:val="000000"/>
      <w:sz w:val="20"/>
    </w:rPr>
  </w:style>
  <w:style w:type="paragraph" w:customStyle="1" w:styleId="af6">
    <w:name w:val="Верхний и нижний колонтитулы"/>
    <w:basedOn w:val="a"/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table" w:customStyle="1" w:styleId="StGen0">
    <w:name w:val="StGen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8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19">
    <w:name w:val="Основной шрифт абзаца1"/>
    <w:basedOn w:val="Heading2Char"/>
    <w:qFormat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????????????? ????????????? ????????????? ??????? ?? 16.12.2019 N 476-?(???. ?? 10.03.2022)&amp;amp;quot;? ??????? ????????????? ?????????????? ???????? ?? ??????????? ???????????????? ?????????? ????????? ? ???? ??????????? ???????? ????? ? ??????????? ?????</vt:lpstr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????????????? ??????? ?? 16.12.2019 N 476-?(???. ?? 10.03.2022)&amp;amp;quot;? ??????? ????????????? ?????????????? ???????? ?? ??????????? ???????????????? ?????????? ????????? ? ???? ??????????? ???????? ????? ? ??????????? ??????? ? ????</dc:title>
  <dc:creator>User</dc:creator>
  <cp:lastModifiedBy>Кухаева Наталья Александровна</cp:lastModifiedBy>
  <cp:revision>2</cp:revision>
  <dcterms:created xsi:type="dcterms:W3CDTF">2025-03-21T08:31:00Z</dcterms:created>
  <dcterms:modified xsi:type="dcterms:W3CDTF">2025-03-21T08:31:00Z</dcterms:modified>
</cp:coreProperties>
</file>