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F94304" w:rsidRDefault="00E90D0F">
      <w:pPr>
        <w:widowControl w:val="0"/>
        <w:ind w:left="5953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к приказу контрольного управления Новосибирской области</w:t>
      </w:r>
    </w:p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от ___________ № ___</w:t>
      </w:r>
      <w:r>
        <w:rPr>
          <w:color w:val="000000" w:themeColor="text1"/>
          <w:sz w:val="28"/>
          <w:szCs w:val="28"/>
        </w:rPr>
        <w:t>-НПА</w:t>
      </w:r>
    </w:p>
    <w:p w:rsidR="00F94304" w:rsidRDefault="00F94304">
      <w:pPr>
        <w:widowControl w:val="0"/>
        <w:ind w:left="5953"/>
        <w:jc w:val="center"/>
        <w:rPr>
          <w:color w:val="000000"/>
          <w:sz w:val="28"/>
          <w:szCs w:val="28"/>
        </w:rPr>
      </w:pPr>
    </w:p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 2</w:t>
      </w:r>
    </w:p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контрольного управления Новосибирской области</w:t>
      </w:r>
    </w:p>
    <w:p w:rsidR="00F94304" w:rsidRDefault="00E90D0F">
      <w:pPr>
        <w:widowControl w:val="0"/>
        <w:ind w:left="59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16.02.2025 № 37-НПА</w:t>
      </w:r>
    </w:p>
    <w:p w:rsidR="00F94304" w:rsidRDefault="00F94304">
      <w:pPr>
        <w:pStyle w:val="aff3"/>
        <w:ind w:firstLine="0"/>
        <w:rPr>
          <w:color w:val="000000"/>
          <w:sz w:val="28"/>
          <w:szCs w:val="28"/>
          <w:lang w:eastAsia="en-US"/>
        </w:rPr>
      </w:pPr>
    </w:p>
    <w:p w:rsidR="00F94304" w:rsidRDefault="00E90D0F">
      <w:pPr>
        <w:pStyle w:val="aff3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F94304" w:rsidRDefault="00E90D0F">
      <w:pPr>
        <w:pStyle w:val="aff3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F94304" w:rsidRDefault="00E90D0F">
      <w:pPr>
        <w:pStyle w:val="aff3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государственных гражданских служащих Новосибирской области</w:t>
      </w:r>
    </w:p>
    <w:p w:rsidR="00F94304" w:rsidRDefault="00E90D0F">
      <w:pPr>
        <w:pStyle w:val="aff3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урегулированию конфликта интересов в контрольном</w:t>
      </w:r>
    </w:p>
    <w:p w:rsidR="00F94304" w:rsidRDefault="00E90D0F">
      <w:pPr>
        <w:pStyle w:val="aff3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управлении Новосибирской области</w:t>
      </w:r>
    </w:p>
    <w:p w:rsidR="00F94304" w:rsidRDefault="00F94304">
      <w:pPr>
        <w:pStyle w:val="aff3"/>
        <w:ind w:firstLine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W w:w="10173" w:type="dxa"/>
        <w:jc w:val="right"/>
        <w:tblLook w:val="04A0" w:firstRow="1" w:lastRow="0" w:firstColumn="1" w:lastColumn="0" w:noHBand="0" w:noVBand="1"/>
      </w:tblPr>
      <w:tblGrid>
        <w:gridCol w:w="3085"/>
        <w:gridCol w:w="356"/>
        <w:gridCol w:w="6732"/>
      </w:tblGrid>
      <w:tr w:rsidR="00F94304">
        <w:trPr>
          <w:trHeight w:val="685"/>
          <w:jc w:val="right"/>
        </w:trPr>
        <w:tc>
          <w:tcPr>
            <w:tcW w:w="3085" w:type="dxa"/>
            <w:shd w:val="clear" w:color="FFFFFF" w:fill="FFFFFF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Швец</w:t>
            </w:r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Инта Петровна</w:t>
            </w:r>
          </w:p>
        </w:tc>
        <w:tc>
          <w:tcPr>
            <w:tcW w:w="356" w:type="dxa"/>
            <w:shd w:val="clear" w:color="FFFFFF" w:fill="FFFFFF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6732" w:type="dxa"/>
            <w:shd w:val="clear" w:color="FFFFFF" w:fill="FFFFFF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заместитель начальника контрольного управления Новосибирской области, председатель комиссии;</w:t>
            </w:r>
          </w:p>
        </w:tc>
      </w:tr>
      <w:tr w:rsidR="00F94304">
        <w:trPr>
          <w:trHeight w:val="482"/>
          <w:jc w:val="right"/>
        </w:trPr>
        <w:tc>
          <w:tcPr>
            <w:tcW w:w="3085" w:type="dxa"/>
            <w:shd w:val="clear" w:color="FFFFFF" w:fill="FFFFFF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Грачева</w:t>
            </w:r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Наталья Владимировна</w:t>
            </w:r>
          </w:p>
        </w:tc>
        <w:tc>
          <w:tcPr>
            <w:tcW w:w="356" w:type="dxa"/>
            <w:shd w:val="clear" w:color="FFFFFF" w:fill="FFFFFF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6732" w:type="dxa"/>
            <w:shd w:val="clear" w:color="FFFFFF" w:fill="FFFFFF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начальник отдела административного производства контрольного управления Новосибирской области, заместитель председателя комиссии;</w:t>
            </w:r>
          </w:p>
        </w:tc>
      </w:tr>
      <w:tr w:rsidR="00F94304">
        <w:trPr>
          <w:jc w:val="right"/>
        </w:trPr>
        <w:tc>
          <w:tcPr>
            <w:tcW w:w="3085" w:type="dxa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Груздева</w:t>
            </w:r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Ольга Сергеевна</w:t>
            </w:r>
          </w:p>
        </w:tc>
        <w:tc>
          <w:tcPr>
            <w:tcW w:w="356" w:type="dxa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6732" w:type="dxa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начальник отдела организационно-правовой и кадровой работы, секретарь комиссии</w:t>
            </w:r>
            <w:r>
              <w:rPr>
                <w:bCs/>
                <w:color w:val="000000" w:themeColor="text1"/>
                <w:sz w:val="27"/>
                <w:szCs w:val="27"/>
              </w:rPr>
              <w:t>;</w:t>
            </w:r>
          </w:p>
        </w:tc>
      </w:tr>
      <w:tr w:rsidR="00F94304">
        <w:trPr>
          <w:jc w:val="right"/>
        </w:trPr>
        <w:tc>
          <w:tcPr>
            <w:tcW w:w="3085" w:type="dxa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Авдюкова</w:t>
            </w:r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Евгения Владимировна</w:t>
            </w:r>
          </w:p>
        </w:tc>
        <w:tc>
          <w:tcPr>
            <w:tcW w:w="356" w:type="dxa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6732" w:type="dxa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начальника отдела контроля в сфере закупок контрольного управления Новосибирской области;</w:t>
            </w:r>
          </w:p>
        </w:tc>
      </w:tr>
      <w:tr w:rsidR="00F94304">
        <w:trPr>
          <w:trHeight w:val="322"/>
          <w:jc w:val="right"/>
        </w:trPr>
        <w:tc>
          <w:tcPr>
            <w:tcW w:w="3085" w:type="dxa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Алимов</w:t>
            </w:r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</w:rPr>
              <w:t>Евгений Николаевич</w:t>
            </w:r>
          </w:p>
        </w:tc>
        <w:tc>
          <w:tcPr>
            <w:tcW w:w="356" w:type="dxa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  <w:highlight w:val="white"/>
              </w:rPr>
              <w:t>-</w:t>
            </w:r>
          </w:p>
        </w:tc>
        <w:tc>
          <w:tcPr>
            <w:tcW w:w="6732" w:type="dxa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</w:rPr>
              <w:t>член общественного совета при контрольном управлении Новосибирской области (по согласованию)</w:t>
            </w:r>
            <w:r>
              <w:rPr>
                <w:bCs/>
                <w:color w:val="000000" w:themeColor="text1"/>
                <w:sz w:val="27"/>
                <w:szCs w:val="27"/>
                <w:highlight w:val="white"/>
              </w:rPr>
              <w:t>;</w:t>
            </w:r>
          </w:p>
        </w:tc>
      </w:tr>
      <w:tr w:rsidR="00F94304">
        <w:trPr>
          <w:trHeight w:val="451"/>
          <w:jc w:val="right"/>
        </w:trPr>
        <w:tc>
          <w:tcPr>
            <w:tcW w:w="3085" w:type="dxa"/>
          </w:tcPr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  <w:highlight w:val="white"/>
              </w:rPr>
              <w:t>В</w:t>
            </w:r>
            <w:r>
              <w:rPr>
                <w:color w:val="000000" w:themeColor="text1"/>
                <w:sz w:val="27"/>
                <w:szCs w:val="27"/>
              </w:rPr>
              <w:t>ыжитович</w:t>
            </w:r>
            <w:proofErr w:type="spellEnd"/>
          </w:p>
          <w:p w:rsidR="00F94304" w:rsidRDefault="00E90D0F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</w:rPr>
              <w:t>Александр Михайлович</w:t>
            </w:r>
          </w:p>
        </w:tc>
        <w:tc>
          <w:tcPr>
            <w:tcW w:w="356" w:type="dxa"/>
          </w:tcPr>
          <w:p w:rsidR="00F94304" w:rsidRDefault="00E90D0F">
            <w:pPr>
              <w:widowControl w:val="0"/>
              <w:ind w:left="-532" w:firstLine="532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  <w:highlight w:val="white"/>
              </w:rPr>
              <w:t>-</w:t>
            </w:r>
          </w:p>
        </w:tc>
        <w:tc>
          <w:tcPr>
            <w:tcW w:w="6732" w:type="dxa"/>
          </w:tcPr>
          <w:p w:rsidR="00F94304" w:rsidRDefault="00E90D0F">
            <w:pPr>
              <w:widowControl w:val="0"/>
              <w:spacing w:after="57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доцент кафедры экономической теории и экономической политики Сибирского института управления – филиала </w:t>
            </w:r>
            <w:r>
              <w:rPr>
                <w:color w:val="000000" w:themeColor="text1"/>
                <w:sz w:val="27"/>
                <w:szCs w:val="27"/>
              </w:rPr>
      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  <w:r>
              <w:rPr>
                <w:bCs/>
                <w:color w:val="000000" w:themeColor="text1"/>
                <w:sz w:val="27"/>
                <w:szCs w:val="27"/>
                <w:highlight w:val="white"/>
              </w:rPr>
              <w:t>;</w:t>
            </w:r>
          </w:p>
        </w:tc>
      </w:tr>
      <w:tr w:rsidR="00F94304">
        <w:trPr>
          <w:trHeight w:val="451"/>
          <w:jc w:val="right"/>
        </w:trPr>
        <w:tc>
          <w:tcPr>
            <w:tcW w:w="3085" w:type="dxa"/>
          </w:tcPr>
          <w:p w:rsidR="00F94304" w:rsidRDefault="00E90D0F">
            <w:pPr>
              <w:widowControl w:val="0"/>
              <w:tabs>
                <w:tab w:val="center" w:pos="1434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Зимнякова</w:t>
            </w:r>
            <w:proofErr w:type="spellEnd"/>
          </w:p>
          <w:p w:rsidR="00F94304" w:rsidRDefault="00E90D0F">
            <w:pPr>
              <w:widowControl w:val="0"/>
              <w:tabs>
                <w:tab w:val="center" w:pos="14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Мария Сергеевна</w:t>
            </w:r>
          </w:p>
        </w:tc>
        <w:tc>
          <w:tcPr>
            <w:tcW w:w="356" w:type="dxa"/>
          </w:tcPr>
          <w:p w:rsidR="00F94304" w:rsidRDefault="00E90D0F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732" w:type="dxa"/>
          </w:tcPr>
          <w:p w:rsidR="00F94304" w:rsidRDefault="00E90D0F">
            <w:pPr>
              <w:pStyle w:val="ConsPlusNormal"/>
              <w:spacing w:after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консультант отде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согласованию).</w:t>
            </w:r>
          </w:p>
        </w:tc>
      </w:tr>
    </w:tbl>
    <w:p w:rsidR="00F94304" w:rsidRDefault="00F94304">
      <w:pPr>
        <w:pStyle w:val="27"/>
        <w:tabs>
          <w:tab w:val="left" w:pos="284"/>
        </w:tabs>
        <w:ind w:firstLine="0"/>
        <w:jc w:val="center"/>
        <w:rPr>
          <w:color w:val="000000" w:themeColor="text1"/>
          <w:sz w:val="25"/>
          <w:szCs w:val="25"/>
        </w:rPr>
      </w:pPr>
    </w:p>
    <w:p w:rsidR="00F94304" w:rsidRDefault="00F94304">
      <w:pPr>
        <w:pStyle w:val="27"/>
        <w:tabs>
          <w:tab w:val="left" w:pos="284"/>
        </w:tabs>
        <w:ind w:firstLine="0"/>
        <w:jc w:val="center"/>
        <w:rPr>
          <w:color w:val="000000" w:themeColor="text1"/>
          <w:sz w:val="25"/>
          <w:szCs w:val="25"/>
        </w:rPr>
      </w:pPr>
    </w:p>
    <w:p w:rsidR="00F94304" w:rsidRDefault="00F94304">
      <w:pPr>
        <w:pStyle w:val="27"/>
        <w:tabs>
          <w:tab w:val="left" w:pos="284"/>
        </w:tabs>
        <w:ind w:firstLine="0"/>
        <w:jc w:val="center"/>
        <w:rPr>
          <w:color w:val="000000" w:themeColor="text1"/>
          <w:sz w:val="25"/>
          <w:szCs w:val="25"/>
        </w:rPr>
      </w:pPr>
    </w:p>
    <w:p w:rsidR="00F94304" w:rsidRDefault="00E90D0F">
      <w:pPr>
        <w:pStyle w:val="27"/>
        <w:tabs>
          <w:tab w:val="left" w:pos="284"/>
        </w:tabs>
        <w:ind w:firstLine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</w:t>
      </w:r>
      <w:r>
        <w:rPr>
          <w:color w:val="000000"/>
          <w:sz w:val="25"/>
          <w:szCs w:val="25"/>
        </w:rPr>
        <w:t>».</w:t>
      </w:r>
    </w:p>
    <w:sectPr w:rsidR="00F94304">
      <w:headerReference w:type="default" r:id="rId7"/>
      <w:headerReference w:type="first" r:id="rId8"/>
      <w:footerReference w:type="first" r:id="rId9"/>
      <w:pgSz w:w="11906" w:h="16838"/>
      <w:pgMar w:top="1134" w:right="567" w:bottom="110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0F" w:rsidRDefault="00E90D0F">
      <w:r>
        <w:separator/>
      </w:r>
    </w:p>
  </w:endnote>
  <w:endnote w:type="continuationSeparator" w:id="0">
    <w:p w:rsidR="00E90D0F" w:rsidRDefault="00E9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04" w:rsidRDefault="00F943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0F" w:rsidRDefault="00E90D0F">
      <w:r>
        <w:separator/>
      </w:r>
    </w:p>
  </w:footnote>
  <w:footnote w:type="continuationSeparator" w:id="0">
    <w:p w:rsidR="00E90D0F" w:rsidRDefault="00E9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04" w:rsidRDefault="00E90D0F">
    <w:pPr>
      <w:pStyle w:val="af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F94304" w:rsidRDefault="00F94304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04" w:rsidRDefault="00F943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3C1"/>
    <w:multiLevelType w:val="hybridMultilevel"/>
    <w:tmpl w:val="629C722E"/>
    <w:lvl w:ilvl="0" w:tplc="E1D43D6A">
      <w:start w:val="1"/>
      <w:numFmt w:val="decimal"/>
      <w:lvlText w:val="%1"/>
      <w:lvlJc w:val="center"/>
      <w:pPr>
        <w:ind w:left="720" w:hanging="360"/>
      </w:pPr>
    </w:lvl>
    <w:lvl w:ilvl="1" w:tplc="7E2279AE">
      <w:start w:val="1"/>
      <w:numFmt w:val="lowerLetter"/>
      <w:lvlText w:val="%2."/>
      <w:lvlJc w:val="left"/>
      <w:pPr>
        <w:ind w:left="1440" w:hanging="360"/>
      </w:pPr>
    </w:lvl>
    <w:lvl w:ilvl="2" w:tplc="68807E7E">
      <w:start w:val="1"/>
      <w:numFmt w:val="lowerRoman"/>
      <w:lvlText w:val="%3."/>
      <w:lvlJc w:val="right"/>
      <w:pPr>
        <w:ind w:left="2160" w:hanging="180"/>
      </w:pPr>
    </w:lvl>
    <w:lvl w:ilvl="3" w:tplc="0F6E4AAA">
      <w:start w:val="1"/>
      <w:numFmt w:val="decimal"/>
      <w:lvlText w:val="%4."/>
      <w:lvlJc w:val="left"/>
      <w:pPr>
        <w:ind w:left="2880" w:hanging="360"/>
      </w:pPr>
    </w:lvl>
    <w:lvl w:ilvl="4" w:tplc="CD96AA60">
      <w:start w:val="1"/>
      <w:numFmt w:val="lowerLetter"/>
      <w:lvlText w:val="%5."/>
      <w:lvlJc w:val="left"/>
      <w:pPr>
        <w:ind w:left="3600" w:hanging="360"/>
      </w:pPr>
    </w:lvl>
    <w:lvl w:ilvl="5" w:tplc="B9744496">
      <w:start w:val="1"/>
      <w:numFmt w:val="lowerRoman"/>
      <w:lvlText w:val="%6."/>
      <w:lvlJc w:val="right"/>
      <w:pPr>
        <w:ind w:left="4320" w:hanging="180"/>
      </w:pPr>
    </w:lvl>
    <w:lvl w:ilvl="6" w:tplc="AEC2B942">
      <w:start w:val="1"/>
      <w:numFmt w:val="decimal"/>
      <w:lvlText w:val="%7."/>
      <w:lvlJc w:val="left"/>
      <w:pPr>
        <w:ind w:left="5040" w:hanging="360"/>
      </w:pPr>
    </w:lvl>
    <w:lvl w:ilvl="7" w:tplc="CF20B3CC">
      <w:start w:val="1"/>
      <w:numFmt w:val="lowerLetter"/>
      <w:lvlText w:val="%8."/>
      <w:lvlJc w:val="left"/>
      <w:pPr>
        <w:ind w:left="5760" w:hanging="360"/>
      </w:pPr>
    </w:lvl>
    <w:lvl w:ilvl="8" w:tplc="50F08A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89F"/>
    <w:multiLevelType w:val="hybridMultilevel"/>
    <w:tmpl w:val="D2C20722"/>
    <w:lvl w:ilvl="0" w:tplc="E19E17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E28D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78CD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F8CD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CAB6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EECD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842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E2EB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7AED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4"/>
    <w:rsid w:val="00B64493"/>
    <w:rsid w:val="00E90D0F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46F90-D4A6-40A8-AC34-C67D0251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pPr>
      <w:spacing w:line="360" w:lineRule="auto"/>
      <w:jc w:val="center"/>
    </w:pPr>
    <w:rPr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/>
      <w:jc w:val="both"/>
    </w:pPr>
    <w:rPr>
      <w:sz w:val="24"/>
      <w:szCs w:val="24"/>
    </w:rPr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c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4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ff">
    <w:name w:val="Основной текст_"/>
    <w:link w:val="1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rPr>
      <w:rFonts w:ascii="Times New Roman" w:eastAsia="Times New Roman" w:hAnsi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aff0">
    <w:name w:val="Верхний колонтитул Знак;Знак Знак"/>
    <w:link w:val="aff1"/>
    <w:uiPriority w:val="99"/>
    <w:rPr>
      <w:sz w:val="28"/>
      <w:szCs w:val="28"/>
    </w:rPr>
  </w:style>
  <w:style w:type="paragraph" w:customStyle="1" w:styleId="aff1">
    <w:name w:val="Верхний колонтитул;Знак"/>
    <w:basedOn w:val="a"/>
    <w:link w:val="aff0"/>
    <w:uiPriority w:val="99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14">
    <w:name w:val="Верхний колонтитул Знак1"/>
    <w:uiPriority w:val="99"/>
    <w:semiHidden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f2">
    <w:name w:val="Официальный"/>
    <w:basedOn w:val="a"/>
    <w:qFormat/>
    <w:pPr>
      <w:ind w:firstLine="709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lang w:eastAsia="ru-RU"/>
    </w:rPr>
  </w:style>
  <w:style w:type="paragraph" w:customStyle="1" w:styleId="aff3">
    <w:name w:val="обычный текст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Большой список уровень 2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709"/>
      <w:jc w:val="both"/>
    </w:pPr>
    <w:rPr>
      <w:rFonts w:ascii="Times New Roman" w:hAnsi="Times New Roman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Кухаева Наталья Александровна</cp:lastModifiedBy>
  <cp:revision>2</cp:revision>
  <dcterms:created xsi:type="dcterms:W3CDTF">2025-03-26T08:44:00Z</dcterms:created>
  <dcterms:modified xsi:type="dcterms:W3CDTF">2025-03-26T08:44:00Z</dcterms:modified>
  <cp:version>1048576</cp:version>
</cp:coreProperties>
</file>