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8"/>
        <w:jc w:val="center"/>
        <w:tabs>
          <w:tab w:val="clear" w:pos="4153" w:leader="none"/>
          <w:tab w:val="clear" w:pos="8306" w:leader="none"/>
        </w:tabs>
        <w:rPr>
          <w:b/>
          <w:bCs/>
          <w:lang w:val="en-US"/>
        </w:rPr>
      </w:pPr>
      <w:r>
        <w:rPr>
          <w:b/>
          <w:bCs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1180" cy="652780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">
                          <a:extLs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551180" cy="652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.40pt;height:51.40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>
        <w:rPr>
          <w:b/>
          <w:bCs/>
          <w:lang w:val="en-US"/>
        </w:rPr>
      </w:r>
      <w:r>
        <w:rPr>
          <w:b/>
          <w:bCs/>
          <w:lang w:val="en-US"/>
        </w:rPr>
      </w:r>
    </w:p>
    <w:p>
      <w:pPr>
        <w:pStyle w:val="617"/>
        <w:jc w:val="center"/>
      </w:pPr>
      <w:r/>
      <w:r/>
    </w:p>
    <w:p>
      <w:pPr>
        <w:pStyle w:val="6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МИНИСТЕРСТВО</w:t>
      </w:r>
      <w:r>
        <w:rPr>
          <w:b/>
          <w:sz w:val="28"/>
          <w:szCs w:val="28"/>
        </w:rPr>
        <w:t xml:space="preserve"> ФИНАНСОВ И НАЛОГОВОЙ ПОЛИТИКИ НОВОСИБИРСКОЙ ОБЛАСТИ</w:t>
      </w:r>
      <w:r>
        <w:rPr>
          <w:b/>
          <w:sz w:val="28"/>
          <w:szCs w:val="28"/>
        </w:rPr>
      </w:r>
    </w:p>
    <w:p>
      <w:pPr>
        <w:pStyle w:val="623"/>
      </w:pPr>
      <w:r/>
      <w:r/>
    </w:p>
    <w:p>
      <w:pPr>
        <w:pStyle w:val="623"/>
      </w:pPr>
      <w:r>
        <w:t xml:space="preserve">ФИНАНСОВО-ЭКОНОМИЧЕСКОЕ ОБОСНОВАНИЕ</w:t>
      </w:r>
      <w:r/>
    </w:p>
    <w:p>
      <w:pPr>
        <w:pStyle w:val="619"/>
        <w:jc w:val="center"/>
        <w:keepNext/>
        <w:spacing w:before="0" w:after="0"/>
        <w:rPr>
          <w:b w:val="0"/>
          <w:bCs w:val="0"/>
          <w:sz w:val="28"/>
          <w:szCs w:val="28"/>
        </w:rPr>
      </w:pPr>
      <w:r>
        <w:rPr>
          <w:rFonts w:eastAsia="Arial Unicode MS"/>
          <w:b w:val="0"/>
          <w:i w:val="0"/>
          <w:iCs w:val="0"/>
          <w:sz w:val="28"/>
          <w:szCs w:val="28"/>
        </w:rPr>
        <w:t xml:space="preserve">к проекту</w:t>
      </w:r>
      <w:r>
        <w:rPr>
          <w:rFonts w:eastAsia="Arial Unicode MS"/>
          <w:b w:val="0"/>
          <w:i w:val="0"/>
          <w:iCs w:val="0"/>
          <w:sz w:val="28"/>
          <w:szCs w:val="28"/>
        </w:rPr>
        <w:t xml:space="preserve"> </w:t>
      </w:r>
      <w:r>
        <w:rPr>
          <w:rFonts w:eastAsia="Arial Unicode MS"/>
          <w:b w:val="0"/>
          <w:i w:val="0"/>
          <w:iCs w:val="0"/>
          <w:sz w:val="28"/>
          <w:szCs w:val="28"/>
        </w:rPr>
        <w:t xml:space="preserve">постановления</w:t>
      </w:r>
      <w:r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Правительства Новосибирской области </w:t>
      </w:r>
      <w:r>
        <w:rPr>
          <w:b w:val="0"/>
          <w:i w:val="0"/>
          <w:sz w:val="28"/>
          <w:szCs w:val="28"/>
        </w:rPr>
        <w:t xml:space="preserve">«</w:t>
      </w:r>
      <w:r>
        <w:rPr>
          <w:rFonts w:eastAsia="Arial Unicode MS"/>
          <w:b w:val="0"/>
          <w:i w:val="0"/>
          <w:iCs w:val="0"/>
          <w:sz w:val="28"/>
          <w:szCs w:val="28"/>
        </w:rPr>
        <w:t xml:space="preserve">Об утверждении </w:t>
      </w:r>
      <w:r>
        <w:rPr>
          <w:rFonts w:eastAsia="Arial Unicode MS"/>
          <w:b w:val="0"/>
          <w:i w:val="0"/>
          <w:iCs w:val="0"/>
          <w:sz w:val="28"/>
          <w:szCs w:val="28"/>
        </w:rPr>
        <w:t xml:space="preserve">отчета об исполнении областного бюджета Новосибирской области </w:t>
      </w:r>
      <w:r>
        <w:rPr>
          <w:rFonts w:eastAsia="Arial Unicode MS"/>
          <w:b w:val="0"/>
          <w:i w:val="0"/>
          <w:iCs w:val="0"/>
          <w:sz w:val="28"/>
          <w:szCs w:val="28"/>
        </w:rPr>
      </w:r>
      <w:r>
        <w:rPr>
          <w:rFonts w:eastAsia="Arial Unicode MS"/>
          <w:b w:val="0"/>
          <w:i w:val="0"/>
          <w:iCs w:val="0"/>
          <w:sz w:val="28"/>
          <w:szCs w:val="28"/>
        </w:rPr>
        <w:t xml:space="preserve">за первое полугодие</w:t>
      </w:r>
      <w:r>
        <w:rPr>
          <w:rFonts w:eastAsia="Arial Unicode MS"/>
          <w:b w:val="0"/>
          <w:i w:val="0"/>
          <w:iCs w:val="0"/>
          <w:sz w:val="28"/>
          <w:szCs w:val="28"/>
        </w:rPr>
      </w:r>
      <w:r>
        <w:rPr>
          <w:rFonts w:eastAsia="Arial Unicode MS"/>
          <w:b w:val="0"/>
          <w:i w:val="0"/>
          <w:iCs w:val="0"/>
          <w:sz w:val="28"/>
          <w:szCs w:val="28"/>
        </w:rPr>
        <w:t xml:space="preserve"> 202</w:t>
      </w:r>
      <w:r>
        <w:rPr>
          <w:rFonts w:eastAsia="Arial Unicode MS"/>
          <w:b w:val="0"/>
          <w:i w:val="0"/>
          <w:iCs w:val="0"/>
          <w:sz w:val="28"/>
          <w:szCs w:val="28"/>
        </w:rPr>
        <w:t xml:space="preserve">6</w:t>
      </w:r>
      <w:r>
        <w:rPr>
          <w:rFonts w:eastAsia="Arial Unicode MS"/>
          <w:b w:val="0"/>
          <w:i w:val="0"/>
          <w:iCs w:val="0"/>
          <w:sz w:val="28"/>
          <w:szCs w:val="28"/>
        </w:rPr>
        <w:t xml:space="preserve"> года</w:t>
      </w:r>
      <w:r>
        <w:rPr>
          <w:b w:val="0"/>
          <w:i w:val="0"/>
          <w:sz w:val="28"/>
          <w:szCs w:val="28"/>
        </w:rPr>
        <w:t xml:space="preserve">»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624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61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</w:t>
      </w:r>
      <w:r>
        <w:rPr>
          <w:sz w:val="28"/>
          <w:szCs w:val="28"/>
        </w:rPr>
        <w:t xml:space="preserve">Правительства Новосибирской области </w:t>
      </w:r>
      <w:r>
        <w:rPr>
          <w:sz w:val="28"/>
          <w:szCs w:val="28"/>
        </w:rPr>
        <w:t xml:space="preserve">«</w:t>
      </w:r>
      <w:r>
        <w:rPr>
          <w:rFonts w:eastAsia="Arial Unicode MS"/>
          <w:iCs/>
          <w:sz w:val="28"/>
          <w:szCs w:val="28"/>
        </w:rPr>
        <w:t xml:space="preserve">Об утверждении отчета об исполнении областного бюджета Новосибирской области </w:t>
      </w:r>
      <w:r>
        <w:rPr>
          <w:rFonts w:eastAsia="Arial Unicode MS"/>
          <w:b w:val="0"/>
          <w:i w:val="0"/>
          <w:iCs w:val="0"/>
          <w:sz w:val="28"/>
          <w:szCs w:val="28"/>
        </w:rPr>
        <w:t xml:space="preserve">за первое полугодие</w:t>
      </w:r>
      <w:r/>
      <w:r>
        <w:rPr>
          <w:rFonts w:eastAsia="Arial Unicode MS"/>
          <w:iCs/>
          <w:sz w:val="28"/>
          <w:szCs w:val="28"/>
        </w:rPr>
      </w:r>
      <w:r>
        <w:rPr>
          <w:rFonts w:eastAsia="Arial Unicode MS"/>
          <w:iCs/>
          <w:sz w:val="28"/>
          <w:szCs w:val="28"/>
        </w:rPr>
        <w:t xml:space="preserve"> 202</w:t>
      </w:r>
      <w:r>
        <w:rPr>
          <w:rFonts w:eastAsia="Arial Unicode MS"/>
          <w:iCs/>
          <w:sz w:val="28"/>
          <w:szCs w:val="28"/>
        </w:rPr>
        <w:t xml:space="preserve">6</w:t>
      </w:r>
      <w:r>
        <w:rPr>
          <w:rFonts w:eastAsia="Arial Unicode MS"/>
          <w:iCs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 </w:t>
      </w:r>
      <w:r>
        <w:rPr>
          <w:sz w:val="28"/>
          <w:szCs w:val="28"/>
        </w:rPr>
        <w:t xml:space="preserve">дополнительных </w:t>
      </w:r>
      <w:r>
        <w:rPr>
          <w:sz w:val="28"/>
          <w:szCs w:val="28"/>
        </w:rPr>
        <w:t xml:space="preserve">расходов из областного бюджета Новосибирской области.</w:t>
      </w:r>
      <w:r>
        <w:rPr>
          <w:sz w:val="28"/>
          <w:szCs w:val="28"/>
        </w:rPr>
      </w:r>
    </w:p>
    <w:p>
      <w:pPr>
        <w:pStyle w:val="61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1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1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17"/>
        <w:jc w:val="both"/>
        <w:rPr>
          <w:sz w:val="28"/>
          <w:szCs w:val="20"/>
        </w:rPr>
      </w:pPr>
      <w:r>
        <w:rPr>
          <w:sz w:val="28"/>
          <w:szCs w:val="20"/>
        </w:rPr>
      </w:r>
      <w:r>
        <w:rPr>
          <w:rFonts w:eastAsia="Calibri"/>
          <w:sz w:val="28"/>
          <w:szCs w:val="28"/>
        </w:rPr>
        <w:t xml:space="preserve">И.о. министра                                                                       </w:t>
      </w:r>
      <w:r>
        <w:rPr>
          <w:rFonts w:eastAsia="Calibri"/>
          <w:sz w:val="28"/>
          <w:szCs w:val="28"/>
        </w:rPr>
        <w:t xml:space="preserve">     </w:t>
      </w:r>
      <w:r>
        <w:rPr>
          <w:rFonts w:eastAsia="Calibri"/>
          <w:sz w:val="28"/>
          <w:szCs w:val="28"/>
        </w:rPr>
        <w:t xml:space="preserve">              А.В. Москвичев</w:t>
      </w:r>
      <w:r/>
      <w:r>
        <w:rPr>
          <w:sz w:val="28"/>
          <w:szCs w:val="20"/>
        </w:rPr>
      </w:r>
    </w:p>
    <w:p>
      <w:pPr>
        <w:pStyle w:val="617"/>
        <w:rPr>
          <w:color w:val="d0cece"/>
          <w:sz w:val="20"/>
          <w:szCs w:val="20"/>
        </w:rPr>
      </w:pPr>
      <w:r>
        <w:rPr>
          <w:color w:val="d0cece"/>
          <w:sz w:val="28"/>
          <w:szCs w:val="28"/>
        </w:rPr>
        <w:t xml:space="preserve">                                                </w:t>
      </w:r>
      <w:r>
        <w:rPr>
          <w:color w:val="d0cece"/>
          <w:sz w:val="28"/>
          <w:szCs w:val="28"/>
        </w:rPr>
        <w:t xml:space="preserve">[МЕСТО ДЛЯ ПОДПИСИ]</w:t>
      </w:r>
      <w:r>
        <w:rPr>
          <w:color w:val="d0cece"/>
          <w:sz w:val="20"/>
          <w:szCs w:val="20"/>
        </w:rPr>
      </w:r>
      <w:r>
        <w:rPr>
          <w:color w:val="d0cece"/>
          <w:sz w:val="20"/>
          <w:szCs w:val="20"/>
        </w:rPr>
      </w:r>
    </w:p>
    <w:p>
      <w:pPr>
        <w:pStyle w:val="626"/>
        <w:spacing w:after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1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6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pStyle w:val="626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pStyle w:val="626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pStyle w:val="626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pStyle w:val="626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pStyle w:val="626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pStyle w:val="626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pStyle w:val="626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pStyle w:val="626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pStyle w:val="626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pStyle w:val="626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pStyle w:val="626"/>
        <w:rPr>
          <w:sz w:val="28"/>
          <w:szCs w:val="20"/>
        </w:rPr>
      </w:pPr>
      <w:r>
        <w:rPr>
          <w:sz w:val="28"/>
          <w:szCs w:val="20"/>
        </w:rPr>
      </w:r>
      <w:r>
        <w:rPr>
          <w:sz w:val="28"/>
          <w:szCs w:val="20"/>
        </w:rPr>
      </w:r>
    </w:p>
    <w:p>
      <w:pPr>
        <w:pStyle w:val="61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В.Е. Белобородов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1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296</w:t>
      </w:r>
      <w:r>
        <w:rPr>
          <w:sz w:val="20"/>
          <w:szCs w:val="20"/>
        </w:rPr>
        <w:t xml:space="preserve"> 50 34</w:t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1134" w:right="567" w:bottom="1134" w:left="1418" w:header="567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 Unicode MS">
    <w:panose1 w:val="020B0604020202020204"/>
  </w:font>
  <w:font w:name="Times New Roman">
    <w:panose1 w:val="02020603050405020304"/>
  </w:font>
  <w:font w:name="Verdana">
    <w:panose1 w:val="020B0604030504040204"/>
  </w:font>
  <w:font w:name="Tahoma">
    <w:panose1 w:val="020B060403050404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7"/>
    <w:next w:val="617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7"/>
    <w:next w:val="617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7"/>
    <w:next w:val="617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7"/>
    <w:next w:val="617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7"/>
    <w:next w:val="617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7"/>
    <w:next w:val="617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7"/>
    <w:next w:val="61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7"/>
    <w:next w:val="61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7"/>
    <w:next w:val="61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7"/>
    <w:next w:val="61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7"/>
    <w:next w:val="61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7"/>
    <w:next w:val="61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7"/>
    <w:next w:val="61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7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7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7"/>
    <w:next w:val="61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next w:val="617"/>
    <w:link w:val="617"/>
    <w:qFormat/>
    <w:rPr>
      <w:sz w:val="24"/>
      <w:szCs w:val="24"/>
      <w:lang w:val="ru-RU" w:eastAsia="ru-RU" w:bidi="ar-SA"/>
    </w:rPr>
  </w:style>
  <w:style w:type="paragraph" w:styleId="618">
    <w:name w:val="Заголовок 1"/>
    <w:basedOn w:val="617"/>
    <w:next w:val="617"/>
    <w:link w:val="617"/>
    <w:qFormat/>
    <w:pPr>
      <w:jc w:val="right"/>
      <w:keepNext/>
      <w:outlineLvl w:val="0"/>
    </w:pPr>
    <w:rPr>
      <w:sz w:val="28"/>
    </w:rPr>
  </w:style>
  <w:style w:type="paragraph" w:styleId="619">
    <w:name w:val="Заголовок 5"/>
    <w:basedOn w:val="617"/>
    <w:next w:val="617"/>
    <w:link w:val="617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styleId="620">
    <w:name w:val="Основной шрифт абзаца"/>
    <w:next w:val="620"/>
    <w:link w:val="617"/>
    <w:semiHidden/>
  </w:style>
  <w:style w:type="table" w:styleId="621">
    <w:name w:val="Обычная таблица"/>
    <w:next w:val="621"/>
    <w:link w:val="617"/>
    <w:semiHidden/>
    <w:tblPr/>
  </w:style>
  <w:style w:type="numbering" w:styleId="622">
    <w:name w:val="Нет списка"/>
    <w:next w:val="622"/>
    <w:link w:val="617"/>
    <w:semiHidden/>
  </w:style>
  <w:style w:type="paragraph" w:styleId="623">
    <w:name w:val="Название"/>
    <w:basedOn w:val="617"/>
    <w:next w:val="623"/>
    <w:link w:val="617"/>
    <w:qFormat/>
    <w:pPr>
      <w:jc w:val="center"/>
    </w:pPr>
    <w:rPr>
      <w:b/>
      <w:bCs/>
      <w:sz w:val="28"/>
    </w:rPr>
  </w:style>
  <w:style w:type="paragraph" w:styleId="624">
    <w:name w:val="Основной текст с отступом"/>
    <w:basedOn w:val="617"/>
    <w:next w:val="624"/>
    <w:link w:val="617"/>
    <w:pPr>
      <w:ind w:firstLine="720"/>
      <w:jc w:val="both"/>
    </w:pPr>
    <w:rPr>
      <w:sz w:val="28"/>
    </w:rPr>
  </w:style>
  <w:style w:type="paragraph" w:styleId="625">
    <w:name w:val="Текст выноски"/>
    <w:basedOn w:val="617"/>
    <w:next w:val="625"/>
    <w:link w:val="617"/>
    <w:semiHidden/>
    <w:rPr>
      <w:rFonts w:ascii="Tahoma" w:hAnsi="Tahoma" w:cs="Tahoma"/>
      <w:sz w:val="16"/>
      <w:szCs w:val="16"/>
    </w:rPr>
  </w:style>
  <w:style w:type="paragraph" w:styleId="626">
    <w:name w:val="Основной текст"/>
    <w:basedOn w:val="617"/>
    <w:next w:val="626"/>
    <w:link w:val="630"/>
    <w:pPr>
      <w:spacing w:after="120"/>
    </w:pPr>
  </w:style>
  <w:style w:type="paragraph" w:styleId="627">
    <w:name w:val=" Знак"/>
    <w:basedOn w:val="617"/>
    <w:next w:val="627"/>
    <w:link w:val="61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628">
    <w:name w:val="Верхний колонтитул"/>
    <w:basedOn w:val="617"/>
    <w:next w:val="628"/>
    <w:link w:val="629"/>
    <w:pPr>
      <w:tabs>
        <w:tab w:val="center" w:pos="4153" w:leader="none"/>
        <w:tab w:val="right" w:pos="8306" w:leader="none"/>
      </w:tabs>
    </w:pPr>
    <w:rPr>
      <w:sz w:val="28"/>
      <w:szCs w:val="28"/>
    </w:rPr>
  </w:style>
  <w:style w:type="character" w:styleId="629">
    <w:name w:val="Верхний колонтитул Знак"/>
    <w:next w:val="629"/>
    <w:link w:val="628"/>
    <w:rPr>
      <w:sz w:val="28"/>
      <w:szCs w:val="28"/>
    </w:rPr>
  </w:style>
  <w:style w:type="character" w:styleId="630">
    <w:name w:val="Основной текст Знак"/>
    <w:next w:val="630"/>
    <w:link w:val="626"/>
    <w:rPr>
      <w:sz w:val="24"/>
      <w:szCs w:val="24"/>
    </w:rPr>
  </w:style>
  <w:style w:type="character" w:styleId="798" w:default="1">
    <w:name w:val="Default Paragraph Font"/>
    <w:uiPriority w:val="1"/>
    <w:semiHidden/>
    <w:unhideWhenUsed/>
  </w:style>
  <w:style w:type="numbering" w:styleId="799" w:default="1">
    <w:name w:val="No List"/>
    <w:uiPriority w:val="99"/>
    <w:semiHidden/>
    <w:unhideWhenUsed/>
  </w:style>
  <w:style w:type="table" w:styleId="800" w:default="1">
    <w:name w:val="Normal Table"/>
    <w:uiPriority w:val="99"/>
    <w:semiHidden/>
    <w:unhideWhenUsed/>
    <w:tblPr/>
  </w:style>
  <w:style w:type="paragraph" w:styleId="1_724" w:customStyle="1">
    <w:name w:val="Body Text"/>
    <w:basedOn w:val="676"/>
    <w:link w:val="862"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wmf"/><Relationship Id="rId9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MFNSO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user123</dc:creator>
  <cp:lastModifiedBy>beloborodov_ve@mfnso.local</cp:lastModifiedBy>
  <cp:revision>35</cp:revision>
  <dcterms:created xsi:type="dcterms:W3CDTF">2013-04-24T10:25:00Z</dcterms:created>
  <dcterms:modified xsi:type="dcterms:W3CDTF">2026-07-13T08:20:01Z</dcterms:modified>
  <cp:version>1048576</cp:version>
</cp:coreProperties>
</file>