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52"/>
        <w:gridCol w:w="8655"/>
      </w:tblGrid>
      <w:tr>
        <w:tblPrEx/>
        <w:trPr/>
        <w:tc>
          <w:tcPr>
            <w:tcW w:w="4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</w:r>
          </w:p>
        </w:tc>
        <w:tc>
          <w:tcPr>
            <w:tcW w:w="10029" w:type="dxa"/>
            <w:textDirection w:val="lrTb"/>
            <w:noWrap w:val="false"/>
          </w:tcPr>
          <w:p>
            <w:pPr>
              <w:pStyle w:val="857"/>
              <w:ind w:left="595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Приложение к постановлению Правительства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7"/>
              <w:ind w:left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УСЛОВИЯ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УЧАСТИЯ И ПОРЯДОК ПРОВЕДЕНИЯ ЕЖЕГОДНОГО ОТБОРА ПРОЕКТОВ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МОЛОДЕЖНОГО ИНИЦИАТИВНОГО БЮДЖЕТИРОВАНИЯ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Настоящие Общие условия и порядок устанавливают условия участия и правила проведения ежегодного отбора проектов молодежного инициативного бюджетирования в Новосибирской области  (далее - Порядок).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Ежегодный отбор проектов молодежного инициативного бюджетирования в Новосибирской области проводится в целях повышения социальной активности молодежи, поддержки молодежных инициатив (далее соответственно - отбор, проекты).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Задачами отбора являются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содействие решению вопросов местного значения, вовлечения молодежи в процессы местного самоуправления, развития механизмов инициативного бюджетирования, а также определения наиболее значимых проблем муниципальных образований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К отбору допускаются проекты (за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исключением проектов, предполагаемых к реализации на территории муниципальных дошкольных образовательных организаций и содержащих мероприятия, указанные в подпунктах 1, 3 настоящего пункта), направленные на решение вопросов местного значения муниципальных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образований в Новосибирской области (далее - муниципальные образования), установленных статьей 16 Федерального закона от 6 октября 2003 года N 131-ФЗ "Об общих принципах организации местного самоуправления в Российской Федерации", и содержащие мероприятия: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1) по строительству и реконструкции, не требующие получения разрешения на строительство, техническому перевооружению, капитальному ремонту, ремонту объектов общественной инфраструктуры, приобретению оборудования, материалов и техники;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) направленные на создание условий для массовых, групповых и индивидуальных занятий учащихся и молодежи, по следующим темам: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обеспечение формирования комфортной среды для молодежи на территории Новосибирской области, способствующей привлечению и удержанию кадров для развития региона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commentRangeStart w:id="0"/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развитие молодежной инфраструктуры с учетом потребностей молодежи, в том числе молодых семей;</w:t>
      </w:r>
      <w:commentRangeEnd w:id="0"/>
      <w:r>
        <w:commentReference w:id="0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commentRangeStart w:id="1"/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разработка и реализация проектов и программ, направленных на развитие любительского туризма, творчества для молодежи, в том числе молодых семей;</w:t>
      </w:r>
      <w:commentRangeEnd w:id="1"/>
      <w:r>
        <w:commentReference w:id="1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расширение инфраструктуры для поддержки добровольческого движения и пространств для развития социальных инноваций на муниципальном уровне;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3. К отбору допускаются проекты со сроком реализации до 31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декабря года, в котором проведен соответствующий отбор.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Отбор осуществляется в два этапа: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первый этап проводится администрацией муниципального образования на территории соответствующего муниципального образования в порядке, установленном муниципальным правовым актом, предусматривающим: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инициативное выдвижение проектов представителями молодежи в возрасте от 14 до 35 лет включительно;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молодежи в отборе проектов путем голосования;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проведение экспертизы проектов экспертной комиссией муниципального образования;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утверждение экспертной комиссией муниципального образования одного проекта, победившего на первом этапе отбора, планируемого к реализации на территории соответствующего муниципального образования (далее - реестр);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срок реализации проекта до 31 декабря текущего года;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второй этап включает формирование, рассмотрение и утверждение сводного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еречня проектов, подлежащих софинансированию за счет предоставления иных межбюджетных трансфертов из бюджета Новосибирской области бюджетам муниципальных образований Новосибирской области (далее соответственно - сводный перечень проектов, иные трансферты).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Формирование сводного перечня проектов осуществляет департамент молодежной политики Новосибирской области (далее - организатор).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Администрации муниципальных образований направляют организатору заявки и документы на предоставление иных трансфертов на софинансирование проекта, победившего на первом этапе отбора.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Иные трансферты предоставляются на софинансирование проектов, предусматривающих финансирование за счет бюджета муниципального образования в размере не менее 15 процентов стоимости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Рассмотрение и утверждение сводного перечня проектов осуществляютс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региональной экспертной комиссией по рассмотрению и утверждению сводного перечня проектов молодежного инициативного бюджетирования (далее - региональная экспертная комиссия), состав и положение о которой утверждаются Правительством Новосибирской области.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 Объем бюджетных ассигнований, предусмотренных государственной программой Новосибирской области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«Развитие государственной молодежной политики Новосибирской области»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утвержденной постановлением Правительства Новосибирской области от 13.07.2015 №263-п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 утверждении государственной про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граммы Новосибирской области «Развитие государственной молодежной политики Новосибирской области»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распределяется между бюджетами муниципальных образований в соответствии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порядком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финансирования из областного бюджета Новосибирской области</w:t>
        <w:br/>
        <w:t xml:space="preserve">с учетом субсидий из федерального бюджета мероприятий,</w:t>
        <w:br/>
        <w:t xml:space="preserve">предусмотренных государственной программой Новосибирской области</w:t>
        <w:br/>
        <w:t xml:space="preserve">«Развитие государственной молодежной политики Новосибирской области»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 Организатор осуществляет: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организацию размещения на официальном сайте департамента молодежной политики 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овосибирской области (далее - официальный сайт) информационного извещения о начале приема заявок и документов на предоставление иного трансферта по каждому проекту, включенному в реестр (далее соответственно - информационное извещение, заявка и документы);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прием и регистрацию заявок и документов в течение 11 рабочих дней со дня размещения на официальном сайте, информационном портале информационного извещения;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назначение даты заседания региональной экспертной комиссии не позднее 11 рабочих дней со дня окончания приема заявок и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учет и хранение представленных заявок и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ведение реестра представленных заявок и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организацию размещения на официальном сайте информационного сообщения о результатах заседания региональной экспертной комиссии на основании протокола заседания региональной экспертной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оказание методической и консультативной поддержки администрациям муниципальных образований;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8) иные полномочия в соответствии с настоящим Порядком.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11. Информационное извещение о начале приема заявок и документов должно содержать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следующие сведения: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контактные данные организатора, в том числе: наименование, адрес места нахождения, телефон, адрес электронной почты;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место, дату и время начала, а также дату и время окончания приема заявок и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форму заявки согласно приложению 1 к настоящему Порядку (далее - заявка), форму перечня документов согласно приложению 2 к настоящему Порядку (далее - перечень документов), а также требования к их оформлению, установленные пунктом 13 настоящего Порядка.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 Администрация муниципального образования представляет организатору заявку, перечень документов и указанные в нем документы (далее - документы) по проекту.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 Заявка и документы представляются администрацией муниципального образования орган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изатору в срок, указанный в информационном извещении, на прошитом, пронумерованном и скрепленном печатью администрации муниципального образования бумажном носителе. В представленных документах не должны содержаться подчистки, приписки и другие исправления.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Администрация муниципального образования несет ответственность за полноту и достоверность представляемых ею организатору документов и информации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 Админ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истрация муниципального образования имеет право отозвать представленные организатору заявку и документы, сообщив об этом в письменной форме организатору до установленной даты окончания срока приема заявок и документов, указанной в информационном извещении.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15. При поступлении заявки и документов уполномоченное лицо организатора, 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уществляющее прием и регистрацию заявок и документов, в течение 2 рабочих дней со дня передачи заявки и документов организатору проверяет их на соответствие требованиям, установленным пунктом 13 настоящего Порядка и приложениями 1 и 2 к настоящему Порядку.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16. Уполномоченное лицо организатора, осуществляющее прием и регистрацию заявок и документов, отказывает администрации муниципального образования в приеме заявки и документов в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представления заявки и документов за пределами срока, указанного в информационном извещении о начале приема заявок и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непредставления заявки, перечня документов и (или) непредставления (представления не в полном объеме) документов, предусмотренных приложением 2 к настоящему Порядку;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представления заявки и документов, оформленных с нарушением требований, установленных пунктом 13 настоящего Порядка и приложениями 1 и 2 к настоящему Порядку;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несоответствия проекта требованиям, установленным пунктами 2, 3 настоящего Порядка.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17. Отказ в приеме заявки и документов оформляется в письменном виде, должен быть мотивирован и направлен в администрацию муниципального образования в течение 2 рабочих дней со дня передачи заявки и документов организатору.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устранения причин, послуживших основанием для отказа в приеме заявки и документов, указанных в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дпунктах 2 - 4 пункта 16 настоящего Порядка, администрация муниципального образования вправе повторно подать организатору заявку и документы, но не позднее установленной даты окончания срока приема заявок и документов, указанной в информационном извещении.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18. При отсутствии предусмотренных пунктом 16 настоящего Порядка оснований для отказа в приеме заявки и документов уполномоченное лицо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рганизатора, осуществляющее прием и регистрацию заявок и документов, по окончании проверки заявки и документов на соответствие требованиям, установленным пунктом 13 настоящего Порядка и приложениями 1 и 2 к настоящему Порядку, но не позднее чем в течение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рабочих дней со дня передачи заявки и документов организатору регистрирует заявку с присвоением регистрационного номера, определяемого датой и временем ее фактического поступления, и в тот же день передает ее вместе с документами уполномоченным лицам орга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низатора, ответственным за их рассмотрение, которые в течение 10 рабочих дней со дня окончания срока приема заявок и документов, указанного в информационном извещении, формируют сводный перечень проектов и направляют его в региональную экспертную комиссию.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19. Региональная экспертная комиссия не позднее 16 рабочих дней со дня окончания приема заявок и документов рассматривает сводный перечень проектов и по результатам рассмотрения: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утверждает сводный перечень проектов;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готовит с учетом Методики и правил предложение о распределении в текущем финансовом году иных трансфертов на софинансирование проектов, включенных в сводный пере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чень проектов, в пределах бюджетных ассигнований, предусмотренных Законом Новосибирской области о бюджете Новосибирской области на соответствующий финансовый год и на плановый период на указанные цели (далее - предложение о распределении иных трансфертов);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определяет перечень главных распорядителей средств бюджета Новосибирской области, осуществляющих финанс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ирование расходов, связанных с предоставлением иных трансфертов, и контроль за соблюдением муниципальными образованиями целей, условий и правил предоставления иных трансфертов (далее - перечень главных распорядителей средств бюджета Новосибирской области).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20. Сводный перечень проектов, предложение о распределении иных трансфертов и перечень главных распорядителей средств бюджета Новосибирской области отражаются в протоколе заседания региональной экспертной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21. Организатор организует размещение подписанного протокола заседания региональной экспертной комиссии на официальном сайте в срок не позднее 3 рабочих дней со дня его подписания.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57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к Общим условиям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участия и порядку проведения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ежегодного отбора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проектов молодежного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инициативного бюджетирования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1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ЗАЯВКА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на предоставление иного межбюджетного трансферта из бюджета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Новосибирской области бюджету муниципального образования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Новосибирской области на софинансирование проекта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молодежного инициативного бюджетирования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Администрация муниципального образования 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направляет  заявку  и  документы  для участия в отборе проектов молодежного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инициативного   бюджетирования   на   предоставление   иного  межбюджетного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трансферта  из  бюджета  Новосибирской области на софинансирование проекта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молодежного инициативного бюджетирования.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1. Наименование проекта молодежного инициативного бюджетирования (далее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проект):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2. Место реализации проекта: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2.1. Муниципальное образование Новосибирской области 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2.2.  Населенный  пункт  (в  том  числе  фактический  адрес  реализации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проекта):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3. Описание проекта: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3.1.  Тип  проекта  согласно  пункту  2 Общих условий участия и порядка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проведения    ежегодного    отбора   проектов   молодежного   инициативного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бюджетирования: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3.2.  Актуальность  проекта  (в том числе описание проблемы, на решение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которой направлен проект):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(описание значимости проекта для населения соответствующего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муниципального образования Новосибирской области, описание сути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проблемы, ее негативных социально-экономических последствий, текущего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состояния объекта общественной инфраструктуры,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предусмотренного проектом, и т.д.)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3.3. Виды расходов на реализацию проекта: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Таблица 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2098"/>
        <w:gridCol w:w="232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Виды работ (услуг)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Полная стоимость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Ремонтно-строительные работы (в соответствии со сметой)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Приобретение материалов (кроме тех, которые учтены в строке "ремонтно-строительные работы")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Приобретение оборудования и техники (кроме того, которое учтено в строке "ремонтно-строительные работы")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Приобретение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Строительный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649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3.4. Ожидаемые результаты: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(описание конкретных изменений в муниципальном образовании Новосибирской области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к которым приведет реализация проекта, по возможности - их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количественная характеристика)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4. Планируемые источники финансирования мероприятий проекта: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Таблица 2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066"/>
        <w:gridCol w:w="2438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66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Виды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Сумма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66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66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Бюджет муниципального образования Новосибирской области  (не менее 15 процентов стоимости проекта)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66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Иной межбюджетный трансферт из бюджета Новосибирской области  бюджету муниципального образования Новосибирской области на софинансирование проекта (не более 400 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6633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5. Благополучатели проекта: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(описание групп населения, которые регулярно будут пользоваться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результатами выполненного проекта)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Число благополучателей (человек): 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6. Число лиц, принявших участие в голосовании: 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(согласно протоколу экспертной комиссии муниципального образования)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7. Число лиц, проголосовавших за проект: 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(согласно протоколу экспертной комиссии муниципального образования)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8.   Расходы   на   эксплуатацию   и  содержание  объекта  общественной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инфраструктуры,       информационно-коммуникационных       ресурсов       в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информационно-телекоммуникационной сети "Интернет", оборудования и техники,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предусмотренных  проектом,  на  следующий  год  после  завершения проекта с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указанием   источников   предоставления   необходимых  ресурсов  (например,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заработная плата, текущий ремонт, расходные материалы, содержание доменного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имени и т.д.):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(наименование муниципального учреждения, которое будет осуществлять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расходы на эксплуатацию и содержание объекта общественной инфраструктуры,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информационно-коммуникационных ресурсов в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информационно-телекоммуникационной сети "Интернет", оборудования и техники,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предусмотренных проектом, на следующий год после завершения проекта)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Таблица 3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252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Вид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Сумма финансирования из бюджета муниципального образования Новосибирской облатси,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819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9. Срок реализации проекта: 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10. Сведения о проектной команде: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капитан проектной команды 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(Ф.И.О. полностью)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телефон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численность команды (человек) 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Подтверждаю  и гарантирую, что вся информация, содержащаяся в настоящей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заявке и в прилагаемых к ней документах, является подлинной и достоверной.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Глава муниципального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образования                 _____________ 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(подпись)          (фамилия, инициалы)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М.П.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Контактный телефон 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e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  <w:t xml:space="preserve">mail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: __________________________________________________________________.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Почтовый   адрес  администрации  муниципального  образования Новосибирской области  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Дата: "__" ___________ 20__ года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--------------------------------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&lt;*&gt; В смету не включаются и не подлежат финансированию расходы на: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1) расходы, не связанные с реализацией проекта;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2)  приобретение  недвижимого  имущества  (включая  земельные участки и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автотранспортные средства);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3)    содержание    помещений,    включая    отопление,   водоснабжение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электроснабжение,   канализацию   и   оплату   других   эксплуатационных  и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коммунальных услуг (уборка, вывоз твердых бытовых отходов и иные);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4) оплату труда штатных сотрудников;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5) командировочные расходы;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6) погашение задолженности организаций, реализующих проект;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7) уплату штрафов, пеней;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8)  оплату  труда  сотрудников  государственных и муниципальных органов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власти;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9) представительские расходы;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10)  предоставление  премий, благотворительные пожертвования в денежной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форме;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11)  приобретение индивидуальных призов, подарков стоимостью более 3000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(трех тысяч) руб.;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12)  проведение  грантовых  конкурсов  для некоммерческих организаций и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физических лиц;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13)   приобретение   продуктов  питания  с  целью  </w:t>
      </w:r>
      <w:r>
        <w:rPr>
          <w:rFonts w:ascii="Times New Roman" w:hAnsi="Times New Roman" w:cs="Times New Roman"/>
          <w:sz w:val="22"/>
          <w:szCs w:val="22"/>
        </w:rPr>
        <w:t xml:space="preserve">их  раздачи  в  виде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материальной (благотворительной) помощи;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14)  приобретение  алкогольной  и табачной продукции, а также предметов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роскоши;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15)  финансирование политических партий, кампаний и акций, подготовку и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6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проведение митингов, демонстраций и пикетирований.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к Общим условиям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участия и порядку проведения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ежегодного отбора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проектов молодежного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документов на предоставление иного межбюджетного трансферта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из бюджета Новосибирской области на софинансирование проекта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молодежного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Копия муниципального правового акта муниципального образования Новосибирской области заверенная главой муниципального образования, определяющего условия и порядок конкурсного отбора проектов молодежного инициативного бюджетирования (д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алее - проекты) на территории соответствующего муниципального образования и регламентирующего работу коллегиального органа муниципального образования по проведению экспертизы проектов - экспертной комиссии муниципального образования , - на __ л. в __ экз.;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копия протокола заседания экспертной комиссии муниципального образования по результатам проведения на территории муниципального образования конкурсного от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бора проектов, с указанием проекта, победившего на первом этапе конкурсного отбора на муниципальном уровне, планируемого к реализации на территории соответствующего муниципального образования, утвержденного экспертной комиссией муниципального образовани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я,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 </w:t>
      </w:r>
      <w:commentRangeStart w:id="2"/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заверенные главой 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, - на __ л. в __ экз.;</w:t>
      </w:r>
      <w:commentRangeEnd w:id="2"/>
      <w:r>
        <w:commentReference w:id="2"/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выписка из сводной бюджетной росписи бюджета муниципального образования о размере бюджетных ассигнований, предусмотренных за счет местного бюджета на реализацию проекта в текущем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году (в размере не менее 15 процентов стоимости проекта, указанного в заявке на предоставление иного межбюджетного трансферта из бюджета Новосибирской области на софинансирование проекта), заверенная главой муниципального образования, - на __ л. в __ экз.;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при реализации проекта, предусматривающего развитие существующего объекта общественной инфраструктуры, - заверенные главой муниципального образования копии документов, подтверждающих право собственности муниципального образования на объект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общественной инфраструктуры, или заверенная главой муниципального образования копия выписки из Единого государственного реестра недвижимости, содержащей запись о государственной регистрации права собственности муниципа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льного образования на объект общественной инфраструктуры и которая подготовлена не позднее одного года до дня подачи заявки на предоставление иного межбюджетного трансферта из бюджета Новосибирской области на софинансирование проекта, - на __ л. в __ экз.;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при реализации проек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та, предусматривающего создание нового объекта общественной инфраструктуры, - заверенные главой муниципального образования копии документов, подтверждающих право собственности муниципального образования на земельный участок, на котором создается объект общ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ественной инфраструктуры, или заверенная главой муниципального образования копия выписки из Единого государственного реестра недвижимости, содержащей запись о государственной регистрации права собственности муниципального образования на земельный участок,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на котором создается объект общественной инфраструктуры, и которая подготовлена не позднее одного года до дня подачи заявки на предоставление иного межбюджетного трансферта из бюджета Новосибирской области на софинансирование проекта, - на __ л. в __ экз.;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при реализации проекта, предусматривающего ремонтно-строительные работы, - копию проектно-сметной документации (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ведомость объемов работ, локальный сметный расчет)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57"/>
        <w:ind w:firstLine="0"/>
        <w:jc w:val="both"/>
        <w:spacing w:before="0" w:beforeAutospac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на __ л. в __ экз.;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при реализации проекта, предусматривающего приобретение оборудования, материалов, техники, а также иных товаров, раб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от и услуг, кроме ремонтно-строительных, - копии документов, подтверждающих стоимость проекта (обоснование начальной (максимальной) цены контракта в соответствии с Федеральным законом Российской Федерации от 5 апреля 2013 года N 44-ФЗ "О контрактной систем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е в сфере закупок товаров, работ, услуг для обеспечения государственных и муниципальных нужд" с приложением справочной информации и копий документов, на основании которых выполнен расчет, либо с указанием реквизитов таких документов), - на __ л. в __ экз.;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(наименование муниципального образования)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_____________________ _______________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(Ф.И.О.)           (подпись)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М.П.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РАСПРЕДЕЛЕНИЯ И ПРАВИЛА ПРЕДОСТАВЛЕНИЯ ИНЫХ МЕЖБЮДЖЕТНЫХ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ТРАНСФЕРТОВ ИЗ БЮДЖЕТА НОВОСИБИРСКОЙ ОБЛАСТИ БЮДЖЕТАМ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МУНИЦИПАЛЬНЫХ ОБРАЗОВАНИЙ НОВОСИБИРСКОЙ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СОФИНАНСИРОВАНИЕ ПРОЕКТОВ МОЛОДЕЖНОГО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ИНИЦИАТИВНОГО БЮДЖЕТИРОВАНИЯ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1. Настоящие Методика и правила устанавливают условия и порядок предоставления, распределения и расходования иных м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ежбюджетных трансфертов из бюджета Новосибирской области  бюджетам муниципальных образований Новосибирской области на реализацию проектов молодежного инициативного бюджетирования (далее соответственно - иные трансферты, муниципальные образования, проекты).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2. Иные трансферты предос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тавляются на софинансирование проектов, прошедших конкурсный отбор на уровне муниципальных образований и вошедших в утвержденный региональной экспертной комиссией по рассмотрению и утверждению сводного перечня проектов молодежного инициативного бюджетирова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ния, образуемой Правительством Новосибирской области (далее - экспертная комиссия), сводный перечень проектов молодежного инициативного бюджетирования, подлежащих софинансированию за счет предоставления иных трансфертов (далее - сводный перечень проектов).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3. Иные трансферты предоставляются в целях софинансирования проектов, направленных на решение вопросов местного значения муниципальных образований, содержащих мероприятия по развитию муниципальных объекто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в общественной инфраструктуры, событийные мероприятия, интернет-проекты, указанные в пункте 2 Общих условий участия и порядка проведения ежегодного отбора проектов молодежного инициативного бюджетирования, утвержденных Правительством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4. Иные трансферты не могут использоваться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1) выплату зарабо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тной платы, уплату страховых взносов, расчеты по налогам, сборам и иным обязательным платежам в бюджеты бюджетной системы Российской Федерации, за исключением выплат и расчетов по заключенным контрактам (договорам, соглашениям) в целях реализации проектов;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2) погашение кредитов, полученных от кредитных организаций, и обслуживание обязательств по кредитным соглашениям и договорам.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5. Финансирование расходов, связанных с предоставлением иных трансфертов, осуществляется главными распорядителями средств бюджета </w:t>
      </w:r>
      <w:commentRangeStart w:id="3"/>
      <w:r>
        <w:rPr>
          <w:rFonts w:ascii="Times New Roman" w:hAnsi="Times New Roman" w:eastAsia="Times New Roman" w:cs="Times New Roman"/>
          <w:sz w:val="24"/>
          <w:szCs w:val="28"/>
        </w:rPr>
        <w:t xml:space="preserve">Новосибирской области, </w:t>
      </w:r>
      <w:commentRangeEnd w:id="3"/>
      <w:r>
        <w:commentReference w:id="3"/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определенными экспертной комиссией, в пределах бюджетных ассигнований, предусмотренных Законом Новосибирской области  о бюджете Новосибирской </w:t>
      </w:r>
      <w:commentRangeStart w:id="4"/>
      <w:r>
        <w:rPr>
          <w:rFonts w:ascii="Times New Roman" w:hAnsi="Times New Roman" w:eastAsia="Times New Roman" w:cs="Times New Roman"/>
          <w:sz w:val="24"/>
          <w:szCs w:val="28"/>
        </w:rPr>
        <w:t xml:space="preserve">области на </w:t>
      </w:r>
      <w:commentRangeEnd w:id="4"/>
      <w:r>
        <w:commentReference w:id="4"/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соответствующий финансовый год и на плановый период на указанные цели (далее - главный распорядитель бюджетных средств).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6. Методика распределения иных трансфертов: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36"/>
          <w:szCs w:val="36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 Максимальный объем иных трансфертов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, предоставляемых бюджетам 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одной группы муниципальных образований в соответствии с Таблицей 1, который определяется на основе численности молодежи муниципального образования по состоянию на 1 января года, предшествующего году, в котором запланировано предоставление иных трансфертов 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на основе данных территориального органа Федеральной службы государственной статистики по Новосибирской области</w:t>
      </w:r>
      <w:r>
        <w:rPr>
          <w:rFonts w:ascii="Times New Roman" w:hAnsi="Times New Roman" w:eastAsia="Times New Roman" w:cs="Times New Roman"/>
          <w:sz w:val="24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36"/>
          <w:szCs w:val="36"/>
          <w:highlight w:val="white"/>
        </w:rPr>
      </w:r>
      <w:r>
        <w:rPr>
          <w:rFonts w:ascii="Times New Roman" w:hAnsi="Times New Roman" w:cs="Times New Roman"/>
          <w:sz w:val="36"/>
          <w:szCs w:val="36"/>
          <w:highlight w:val="white"/>
        </w:rPr>
      </w:r>
    </w:p>
    <w:p>
      <w:pPr>
        <w:pStyle w:val="71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</w:p>
    <w:p>
      <w:pPr>
        <w:pStyle w:val="71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fldChar w:fldCharType="begin"/>
        <w:instrText xml:space="preserve"> SEQ Таблица \* Arabic </w:instrText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- Группы муниципальных образований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77"/>
        <w:gridCol w:w="7228"/>
      </w:tblGrid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white"/>
                <w:vertAlign w:val="subscript"/>
              </w:rPr>
              <w:t xml:space="preserve">max</w:t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white"/>
              </w:rPr>
              <w:t xml:space="preserve">Численность молодежи муниципального образования</w:t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white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white"/>
              </w:rPr>
              <w:t xml:space="preserve"> тысяч рублей</w:t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7228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муниципальные образования  Новосибирской области с количеством проживающей молодежи до 3 тыс. чел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(6 МО)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white"/>
              </w:rPr>
              <w:t xml:space="preserve">00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white"/>
              </w:rPr>
              <w:t xml:space="preserve"> тысяч рублей</w:t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муниципальные районы Новосибирской области с количеством проживающей молодежи от 3 до 9 тыс. чел (15 МО)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900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white"/>
              </w:rPr>
              <w:t xml:space="preserve"> тысяч рублей</w:t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  <w:r>
              <w:rPr>
                <w:rFonts w:ascii="Times New Roman" w:hAnsi="Times New Roman" w:cs="Times New Roman"/>
                <w:sz w:val="36"/>
                <w:szCs w:val="3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муниципальные районы Новосибирской области с количеством проживающей молодежи от 9 тыс. чел.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(14 МО)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r>
          </w:p>
        </w:tc>
      </w:tr>
    </w:tbl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отсутствия заявок в одной из групп муниципальных образований Новосибирской области на получение иного трансферта, неиспользованная сумма перераспределяется между остальными группы пропорционально количеству заявок в оставшихся группах.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7. Условиями предоставления и расходования иного трансферта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1) финансирование проекта за счет бюджетных ассигнований бюджета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 муниципального образования в размере, указанном администрацией муниципального образования в заявке на предоставление иного трансферта из бюджета Новосибирской области на софинансирование проекта, который не может быть менее 15 процентов стоимости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2) использование иного трансферта на цели, определенные пунктами 2 и 3 настоящих Методики и правил;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3) своевременное представление администрацией муниципального образования главному распорядителю бюджетных средств отчета о реализации проекта и использовании иного трансферта по форме, установленной главным распорядителем бюджетных средств;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4) обязательство администрации муниципального образования по возврату в бюджет Новосибирской области иного трансферта в размере, опре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деленном в соответствии с пунктом 17 настоящих Методики и правил, в случае, если бюджетные ассигнования за счет бюджета муниципального образования направлены на финансирование проекта в меньшем размере от размера, указанного подпунктом 1 настоящего пункта.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shd w:val="clear" w:color="ffffff" w:themeColor="background1" w:fill="ffffff" w:themeFill="background1"/>
        <w:rPr>
          <w:rFonts w:ascii="Times New Roman" w:hAnsi="Times New Roman" w:cs="Times New Roman"/>
          <w:sz w:val="36"/>
          <w:szCs w:val="36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8. Департамент молодежной политики Новосибирской области в течение 5 рабочих дней со дня подписания протокола заседания экспертной комиссии представляет 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главным распорядителям бюджетных средств:</w:t>
      </w:r>
      <w:r>
        <w:rPr>
          <w:rFonts w:ascii="Times New Roman" w:hAnsi="Times New Roman" w:cs="Times New Roman"/>
          <w:sz w:val="36"/>
          <w:szCs w:val="36"/>
          <w:highlight w:val="white"/>
        </w:rPr>
      </w:r>
      <w:r>
        <w:rPr>
          <w:rFonts w:ascii="Times New Roman" w:hAnsi="Times New Roman" w:cs="Times New Roman"/>
          <w:sz w:val="36"/>
          <w:szCs w:val="36"/>
          <w:highlight w:val="white"/>
        </w:rPr>
      </w:r>
    </w:p>
    <w:p>
      <w:pPr>
        <w:pStyle w:val="857"/>
        <w:ind w:firstLine="540"/>
        <w:jc w:val="both"/>
        <w:spacing w:before="200"/>
        <w:shd w:val="clear" w:color="ffffff" w:themeColor="background1" w:fill="ffffff" w:themeFill="background1"/>
        <w:rPr>
          <w:rFonts w:ascii="Times New Roman" w:hAnsi="Times New Roman" w:cs="Times New Roman"/>
          <w:sz w:val="36"/>
          <w:szCs w:val="36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копию протокола заседания экспертной комиссии;</w:t>
      </w:r>
      <w:r>
        <w:rPr>
          <w:rFonts w:ascii="Times New Roman" w:hAnsi="Times New Roman" w:cs="Times New Roman"/>
          <w:sz w:val="36"/>
          <w:szCs w:val="36"/>
          <w:highlight w:val="white"/>
        </w:rPr>
      </w:r>
      <w:r>
        <w:rPr>
          <w:rFonts w:ascii="Times New Roman" w:hAnsi="Times New Roman" w:cs="Times New Roman"/>
          <w:sz w:val="36"/>
          <w:szCs w:val="36"/>
          <w:highlight w:val="white"/>
        </w:rPr>
      </w:r>
    </w:p>
    <w:p>
      <w:pPr>
        <w:pStyle w:val="857"/>
        <w:ind w:firstLine="540"/>
        <w:jc w:val="both"/>
        <w:spacing w:before="200"/>
        <w:shd w:val="clear" w:color="ffffff" w:themeColor="background1" w:fill="ffffff" w:themeFill="background1"/>
        <w:rPr>
          <w:rFonts w:ascii="Times New Roman" w:hAnsi="Times New Roman" w:cs="Times New Roman"/>
          <w:sz w:val="36"/>
          <w:szCs w:val="36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сводный 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перечень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 проектов по форме согласно приложению 1 к настоящим Методике и правилам.</w:t>
      </w:r>
      <w:r>
        <w:rPr>
          <w:rFonts w:ascii="Times New Roman" w:hAnsi="Times New Roman" w:cs="Times New Roman"/>
          <w:sz w:val="36"/>
          <w:szCs w:val="36"/>
          <w:highlight w:val="white"/>
        </w:rPr>
      </w:r>
      <w:r>
        <w:rPr>
          <w:rFonts w:ascii="Times New Roman" w:hAnsi="Times New Roman" w:cs="Times New Roman"/>
          <w:sz w:val="36"/>
          <w:szCs w:val="36"/>
          <w:highlight w:val="white"/>
        </w:rPr>
      </w:r>
    </w:p>
    <w:p>
      <w:pPr>
        <w:pStyle w:val="857"/>
        <w:ind w:firstLine="540"/>
        <w:jc w:val="both"/>
        <w:spacing w:before="200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9. В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течение 5 рабочих дней со дня опубликования  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протокола заседания экспертной комиссии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департамент молодежной политики Новосибирской области осуществляет доведение соответствующих лимитов бюджетных обязательств до главных распорядителей бюджетных средств. Доведенные до главного распорядителя бюджетных средств лим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иты бюджетных обязательств являются основанием для заключения главным распорядителем бюджетных средств с администрацией муниципального образования соглашения о предоставлении иного трансферта (далее - Соглашение), в котором, в частности, предусматриваются: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1) размер иного трансферта, целевое назначение иного трансферта, условия, порядок предоставления и расходования иного трансферта;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2) размер бюджетных ассигнований за счет бюджета муниципального образования на финансирование проекта, в целях софинансирования которого предоставляется иной трансферт;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3) обязательство администрации муниципального образо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вания по финансированию проекта, в целях софинансирования которого предоставляется иной трансферт, за счет бюджетных ассигнований бюджета муниципального образования, в размере не менее размера, указанного в подпункте 1 пункта 7 настоящих Методики и правил;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4) обязательство администрации муниципального образования по целевому использованию иного трансферта;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5) обязательство администрации муниципального образования по реализации проекта, в целях софинансирования которого предоставляется иной трансферт, до 31 декабря года, в котором проведен соответствующий отбор;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6) с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роки и порядок представления администрацией муниципального образования отчета об использовании иного трансферта и реализации проекта, в целях софинансирования которого предоставляется иной трансферт, в соответствии с пунктом 16 настоящих Методики и правил;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7) порядок осуществления контроля за соблюдением администрацией муниципального образования целей, условий и порядка предоставления и расходования иного трансферта, установленных настоящими Методикой и правилами, Соглашением;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8) порядок и сроки возврата иного трансферта в бюджет Новосибирской области в случае нарушения целей, условий и порядка его предоставления и расходования, установленных настоящими Методикой и правилами, Соглашением;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9) ответственность за несоблюдение администрацией муниципального образования условий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10) условие расторжения Соглашения главным распорядителем бюджетных средств в од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ностороннем порядке в случае непредставления администрацией муниципального образования главному распорядителю бюджетных средств документов, указанных в пункте 14 настоящих Методики и правил, в срок, превышающий 15 рабочих дней со дня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10. Соглашение заключается в срок не позднее 15 рабочих дней с даты опубликования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протокола заседания экспертной комиссии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11.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Соглашение, дополнительное соглашение о внесении изменений, а также дополнительное соглашение о расторжении соглашения (при необходимости) заключается в соответствии с типовой формой, утвержденной приказом министерства финансов и налоговой политик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 Новосибирской области от 29.08.2019 № 53-НПА «Об утверждении типовой формы соглашения (договора) о предоставлении из областного бюджета Новосибирской области некоммерческим организациям, не являющимся казенными учреждениями, грантов в форме субсидий, в то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 числе предоставляемых по результатам проводимых исполнительными органами государственной власти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ия учредителя».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12. Размер бюджетных ассигнований за счет бюджета муниципального образован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ия на реализацию проекта, в целях софинансирования которого предоставляется иной трансферт, может быть увеличен муниципальным образованием в одностороннем порядке, что не влечет за собой обязательств по увеличению размера предоставляемого иного трансферта.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14. Перечисление иного трансферта осуществляется на основании заключенного Соглашения и представленной администрацией муниципального образования главному распорядителю бюджетных средств выписки из решения о бюджете муни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ципального образования о бюджетных ассигнованиях бюджета муниципального образования, предусмотренных на текущий финансовый год на реализацию проекта, в целях софинансирования которого предоставляется иной трансферт, размер которых должен быть не менее разм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ера, указанного в подпункте 1 пункта 7 настоящих Методики и правил, по форме согласно приложению 2 к настоящим Методике и правилам и (или) выписки из сводной бюджетной росписи бюджета муниципального образования о бюджетных ассигнованиях бюджета муниципальн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ого образования, предусмотренных на текущий финансовый год на реализацию проекта, в целях софинансирования которого предоставляется иной трансферт, размер которого должен быть не менее размера, указанного в подпункте 1 пункта 7 настоящих Методике и правил.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36"/>
          <w:szCs w:val="36"/>
          <w:highlight w:val="white"/>
        </w:rPr>
      </w:pPr>
      <w:r>
        <w:rPr>
          <w:highlight w:val="white"/>
        </w:rPr>
      </w:r>
      <w:commentRangeStart w:id="5"/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15. Перечисление иного трансферта осуществляется в установленном порядке 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  <w:commentRangeEnd w:id="5"/>
      <w:r>
        <w:commentReference w:id="5"/>
      </w:r>
      <w:r>
        <w:rPr>
          <w:rFonts w:ascii="Times New Roman" w:hAnsi="Times New Roman" w:cs="Times New Roman"/>
          <w:sz w:val="36"/>
          <w:szCs w:val="36"/>
          <w:highlight w:val="white"/>
        </w:rPr>
      </w:r>
      <w:r>
        <w:rPr>
          <w:rFonts w:ascii="Times New Roman" w:hAnsi="Times New Roman" w:cs="Times New Roman"/>
          <w:sz w:val="36"/>
          <w:szCs w:val="36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16. Администрация муниципального образования ежеквартально до 12 числа месяца, следующего за отчетным кв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арталом, представляет главному распорядителю бюджетных средств отчет об использовании иного трансферта и реализации проекта, в целях софинансирования которого предоставляется иной трансферт, по форме, установленной главным распорядителем бюджетных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17. В случае если администрацией муниципального образования по состоянию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на 31 декабря года предоставления иного трансферта допущены нарушения обязательств, предусмотренных Соглашением в соответствии с подпунктом 3 пункта 10 настоящих Методики и правил, и в срок до 1 апреля года, следующего за годом предоставления иного трансфе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рта, указанные нарушения не устранены, объем средств, подлежащих возврату из бюджета муниципального образования в бюджет Новосибирской области в срок до 1 мая года, следующего за годом предоставления иного трансферта (Vвозврата),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Vвозврата = Vиного трансферта x (VS1план - VS1факт) / VS1план,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Vиного трансферта - размер иного трансферта, предоставленного бюджету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VS1план - плановый объем финансирования проекта, в целях софинансирования которого предоставляется иной трансферт, за счет бюджета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VS1факт - фактический объем финансирования проекта, в целях софинансирования которого предоставляются иной трансферт, за счет бюджета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При расчете объема средств, подлежащих возврату из бюджета муниципального образования в бюджет Новосибирской области, в размере иного трансферта, предоставленног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 бюджету муниципального образования (Vиного трансферта), не учитывается размер остатка иного трансферта, не использованного по состоянию на 1 января текущего финансового года, потребность в котором не подтверждена главным распорядителем бюджетных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18. Иные трансфер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ты носят целевой характер и не могут быть использованы на иные цели. Иные трансферты, использованные не по целевому назначению либо с нарушением условий их предоставления и расходования, подлежат возврату в бюджет Новосибирской области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1) главный распорядитель бюджетных средств в течение 10 рабочих дней со дня выявления нарушения направляет администрации муниципального образования письменное уведомление о возврате суммы предоставленного иного трансферта;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2) администрация муниципального образования в течение 10 рабочих дней со дня получения письменного уведомления обязана перечислить сумму предоставленного иного трансферта в бюджет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3) в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случае неперечисления администрацией муниципального образования в установленный срок суммы предоставленного иного трансферта главный распорядитель бюджетных средств принимает меры для ее принудительного взыскания в порядке, установленном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19. Ответственность за нецелевое использование иного трансферта, несоблюдение условий предоставления и расходования иного трансферта, установленных настоящими Методикой и правилами, Соглашением, а также своевремен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ность, полноту и достоверность представленных главному распорядителю бюджетных средств отчетов об использовании иного трансферта и реализации проекта, в целях которого предоставляется иной трансферт, возлагается на администрацию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20. В случае нецелевого использования иного трансферта и (или) нарушения муниципальным образован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ием условий предоставления и расходования иного трансферта, установленного настоящими Методикой и правилами, Соглашением,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21. Контроль за соблюдением муниципальным образованием целей, условий и порядка предоставления и расходования иного трансферта, установленных настоящими Методикой и правилами, Соглашением, осуществляется главным распорядителем бюджетных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Проверки соблюдения муниципальным образованием целей, условий и порядка предоставления и расходо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вания иного трансферта, установленных настоящими Методикой и правилами, Соглашением, осуществляются главным распорядителем бюджетных средств, Министерством финансов и налоговой политики Новосибирской области, Контрольным управлением Новосибирской области 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22. Не использованные по состоянию на 1 января текущего финансового года остатки иного трансферта подлежат возврату в доход бюджета Новосибирской области  в течение первых 15 рабочих дней текущего финансового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В случае если неиспользованный остаток иного трансферта не перечислен в доход бюджета Новосибирской области, он подлежит взысканию в доход бюджета Новосибирской области в порядке, предусмотренном Министерством финансов и налоговой политики Новосибирской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области, с соблюдением общих требований, установленных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36"/>
          <w:szCs w:val="36"/>
          <w:highlight w:val="white"/>
        </w:rPr>
      </w:pPr>
      <w:r>
        <w:rPr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В соответствии с решением главного распорядителя бюджетных средств о наличии потребности в ино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м трансферт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е, не использованном в отчетном финансовом году, согласованным с департаментом молодежной политики Новосибирской области, средства в объеме, не превышающем остатка указанного иного трансферта, могут быть возвращены в текущем финансовом году в доход бюджета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 муниципального образования, которому они были ранее предоставлены, для финансового обеспечения расходов бюджета, соответствующих целям предоставления указанного иного трансферта, в установленном порядке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36"/>
          <w:szCs w:val="36"/>
          <w:highlight w:val="white"/>
        </w:rPr>
      </w:r>
      <w:r>
        <w:rPr>
          <w:rFonts w:ascii="Times New Roman" w:hAnsi="Times New Roman" w:cs="Times New Roman"/>
          <w:sz w:val="36"/>
          <w:szCs w:val="36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23. В случае уменьшения общей стоимости проекта в результате проведения конкур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сных процедур при реализации проекта, неиспользованный остаток иного трансферта подлежит возврату в бюджет Новосибирской области в размере, пропорциональном софинансированию проекта за счет средств бюджета Новосибирской области  от общей стоимости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7"/>
        <w:jc w:val="right"/>
        <w:outlineLvl w:val="1"/>
      </w:pPr>
      <w:r>
        <w:rPr>
          <w:sz w:val="20"/>
        </w:rPr>
        <w:t xml:space="preserve">Приложение 1</w:t>
      </w:r>
      <w:r/>
    </w:p>
    <w:p>
      <w:pPr>
        <w:pStyle w:val="857"/>
        <w:jc w:val="right"/>
      </w:pPr>
      <w:r>
        <w:rPr>
          <w:sz w:val="20"/>
        </w:rPr>
        <w:t xml:space="preserve">к Методике</w:t>
      </w:r>
      <w:r/>
    </w:p>
    <w:p>
      <w:pPr>
        <w:pStyle w:val="857"/>
        <w:jc w:val="right"/>
      </w:pPr>
      <w:r>
        <w:rPr>
          <w:sz w:val="20"/>
        </w:rPr>
        <w:t xml:space="preserve">распределения и правилам</w:t>
      </w:r>
      <w:r/>
    </w:p>
    <w:p>
      <w:pPr>
        <w:pStyle w:val="857"/>
        <w:jc w:val="right"/>
      </w:pPr>
      <w:r>
        <w:rPr>
          <w:sz w:val="20"/>
        </w:rPr>
        <w:t xml:space="preserve">предоставления иных межбюджетных</w:t>
      </w:r>
      <w:r/>
    </w:p>
    <w:p>
      <w:pPr>
        <w:pStyle w:val="857"/>
        <w:jc w:val="right"/>
      </w:pPr>
      <w:r>
        <w:rPr>
          <w:sz w:val="20"/>
        </w:rPr>
        <w:t xml:space="preserve">трансфертов из бюджета</w:t>
      </w:r>
      <w:r/>
    </w:p>
    <w:p>
      <w:pPr>
        <w:pStyle w:val="857"/>
        <w:jc w:val="right"/>
        <w:rPr>
          <w:sz w:val="20"/>
          <w:szCs w:val="20"/>
        </w:rPr>
      </w:pPr>
      <w:r>
        <w:rPr>
          <w:sz w:val="20"/>
        </w:rPr>
        <w:t xml:space="preserve">Новосибирской области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</w:pPr>
      <w:r>
        <w:rPr>
          <w:sz w:val="20"/>
        </w:rPr>
        <w:t xml:space="preserve">бюджетам муниципальных образований</w:t>
      </w:r>
      <w:r/>
    </w:p>
    <w:p>
      <w:pPr>
        <w:pStyle w:val="857"/>
        <w:jc w:val="right"/>
      </w:pPr>
      <w:r>
        <w:rPr>
          <w:sz w:val="20"/>
        </w:rPr>
        <w:t xml:space="preserve">Новосибирской области</w:t>
      </w:r>
      <w:r/>
    </w:p>
    <w:p>
      <w:pPr>
        <w:pStyle w:val="857"/>
        <w:jc w:val="right"/>
      </w:pPr>
      <w:r>
        <w:rPr>
          <w:sz w:val="20"/>
        </w:rPr>
        <w:t xml:space="preserve">на софинансирование проектов</w:t>
      </w:r>
      <w:r/>
    </w:p>
    <w:p>
      <w:pPr>
        <w:pStyle w:val="857"/>
        <w:jc w:val="right"/>
      </w:pPr>
      <w:r>
        <w:rPr>
          <w:sz w:val="20"/>
        </w:rPr>
        <w:t xml:space="preserve">молодежного инициативного</w:t>
      </w:r>
      <w:r/>
    </w:p>
    <w:p>
      <w:pPr>
        <w:pStyle w:val="857"/>
        <w:jc w:val="right"/>
      </w:pPr>
      <w:r>
        <w:rPr>
          <w:sz w:val="20"/>
        </w:rPr>
        <w:t xml:space="preserve">бюджетирования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center"/>
      </w:pPr>
      <w:r>
        <w:rPr>
          <w:sz w:val="20"/>
        </w:rPr>
        <w:t xml:space="preserve">СВОДНЫЙ ПЕРЕЧЕНЬ</w:t>
      </w:r>
      <w:r/>
    </w:p>
    <w:p>
      <w:pPr>
        <w:pStyle w:val="857"/>
        <w:jc w:val="center"/>
      </w:pPr>
      <w:r>
        <w:rPr>
          <w:sz w:val="20"/>
        </w:rPr>
        <w:t xml:space="preserve">проектов молодежного инициативного бюджетирования,</w:t>
      </w:r>
      <w:r/>
    </w:p>
    <w:p>
      <w:pPr>
        <w:pStyle w:val="857"/>
        <w:jc w:val="center"/>
      </w:pPr>
      <w:r>
        <w:rPr>
          <w:sz w:val="20"/>
        </w:rPr>
        <w:t xml:space="preserve">подлежащих софинансированию за счет предоставления иных</w:t>
      </w:r>
      <w:r/>
    </w:p>
    <w:p>
      <w:pPr>
        <w:pStyle w:val="857"/>
        <w:jc w:val="center"/>
      </w:pPr>
      <w:r>
        <w:rPr>
          <w:sz w:val="20"/>
        </w:rPr>
        <w:t xml:space="preserve">межбюджетных трансфертов из бюджета Новосибирской области</w:t>
      </w:r>
      <w:r/>
    </w:p>
    <w:p>
      <w:pPr>
        <w:pStyle w:val="857"/>
        <w:jc w:val="center"/>
      </w:pPr>
      <w:r>
        <w:rPr>
          <w:sz w:val="20"/>
        </w:rPr>
        <w:t xml:space="preserve">бюджетам муниципальных образований Новосибирской области </w:t>
      </w:r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shd w:val="nil" w:color="auto"/>
      </w:pPr>
      <w:r>
        <w:br w:type="page" w:clear="all"/>
      </w:r>
      <w:r/>
    </w:p>
    <w:p>
      <w:pPr>
        <w:sectPr>
          <w:footnotePr/>
          <w:endnotePr/>
          <w:type w:val="nextPage"/>
          <w:pgSz w:w="11906" w:h="16838" w:orient="portrait"/>
          <w:pgMar w:top="448" w:right="566" w:bottom="233" w:left="1133" w:header="709" w:footer="709" w:gutter="0"/>
          <w:cols w:num="1" w:sep="0" w:space="1701" w:equalWidth="1"/>
          <w:docGrid w:linePitch="360"/>
          <w:titlePg/>
        </w:sectPr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417"/>
        <w:gridCol w:w="1701"/>
        <w:gridCol w:w="1304"/>
        <w:gridCol w:w="2835"/>
        <w:gridCol w:w="4790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Муниципальное образование Новосибирской области (далее - МО)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Населенный пункт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Наименование проекта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Общая стоимость проекта, руб.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Размер финансирования проекта за счет бюджета МО, указанный администрацией МО в заявке на предоставление иного межбюджетного трансферта из бюджета Новосибирской области и на софинансирование проекта молодежного инициативного бюджетирования, руб.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Размер иного межбюджетного трансферта из бюджета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Новосибирской области бюджету МО на софинансирование проекта, указанный администрацией МО в заявке на предоставление иного межбюджетного трансферта из бюджета Новосибирской области на софинансирование проекта молодежного инициативного бюджетирования, руб.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Председатель экспертной комиссии ________________ 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(подпись)       (расшифровка подписи)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lef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Приложение 2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к Методике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распределения и правилам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предоставления иных межбюджетных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трансфертов из бюджета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на софинансирование проектов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молодежного инициативного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бюджетирования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ВЫПИСКА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из решения о бюджете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на _____________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60"/>
        <w:gridCol w:w="2211"/>
      </w:tblGrid>
      <w:tr>
        <w:tblPrEx/>
        <w:trPr/>
        <w:tc>
          <w:tcPr>
            <w:tcW w:w="6860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Наименование финансового органа муниципального образования Новосибирской области, формирующего решение о бюджете муниципального образования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60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Наименование бюджета муниципального образования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Расходы бюджета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Единица измерения,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57"/>
        <w:gridCol w:w="2041"/>
        <w:gridCol w:w="1701"/>
        <w:gridCol w:w="3572"/>
      </w:tblGrid>
      <w:tr>
        <w:tblPrEx/>
        <w:trPr/>
        <w:tc>
          <w:tcPr>
            <w:tcW w:w="175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Целевая статья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Вид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Утверждено бюджетом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75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757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(наименование муниципального образования Новосибирской области)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__________________________ ________________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(Ф.И.О.)             (подпись)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М.П.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финансового органа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(наименование муниципального образования Новосибирской области)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__________________________ ________________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(Ф.И.О.)             (подпись)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57"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Утверждено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от 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РЕГИОНАЛЬНОЙ ЭКСПЕРТНОЙ КОМИССИИ ПО РАССМОТРЕНИЮ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УТВЕРЖДЕНИЮ СВОДНОГО ПЕРЕЧНЯ ПРОЕКТОВ МОЛОДЕЖНОГО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ИНИЦИАТИВНОГО БЮДЖЕТИРОВАНИЯ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Общие положения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1. Настоящее Положение определяет порядок деятельности региональной экспертной комиссии по рассмотрению и утверждению сводного перечня проектов молодежного инициативного бюджетирования, подлежащих с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финансированию за счет предоставления иных межбюджетных трансфертов из бюджета Новосибирской области бюджетам муниципальных образований Новосибирской области (далее соответственно - экспертная комиссия, проекты, иные трансферты, сводный перечень проектов).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2. Экспертная комиссия является постоянно действующим коллегиальным органом.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3. Экспертная комиссия в своей деятельности руководствуется Конституцией Р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оссийской Федерации, федеральными законами, иными нормативными правовыми актами Российской Федерации, Уставом Новосибирской области, законами Новосибирской области, иными нормативными правовыми актами Новосибирской области, а также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4. Организационно-техническое обеспечение деятельности экспертной комиссии осуществляется департаментом молодежной политики Новосибирской области (далее - организатор).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Функции экспертной комиссии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5. Экспертная комиссия: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1) осуществляет рассмотрение сводного перечня проектов;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2) утверждает сводный перечень проектов;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3) готовит предложение о распределении в текущем финансовом году иных трансфертов из бюджета Новосибирской облатси бюджетам муниципальных образований Новосибирской области на софинанси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рование проектов согласно сформированному сводному перечню проектов, в пределах бюджетных ассигнований, предусмотренных Законом Новосибирской области о бюджете Новосибирской области  на соответствующий финансовый год и на плановый период на указанные цели;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4) определяет перечень главных распорядителей средств бюджета Новосибирской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области, осуществляющих финансирование расходов, связанных с предоставлением иных трансфертов, и контроль за соблюдением муниципальными образованиями Новосибирской области целей, условий и правил предоставления иных трансфертов;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36"/>
          <w:szCs w:val="36"/>
          <w:highlight w:val="white"/>
        </w:rPr>
      </w:pPr>
      <w:r>
        <w:rPr>
          <w:highlight w:val="white"/>
        </w:rPr>
      </w:r>
      <w:commentRangeStart w:id="6"/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5) готовит рекомендации департаменту молодежной политики Новосибирской области о включении в заявку на участие во Всероссийском конкурсе программ комплексного развития молодежной политики в субъектах Российск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ой Федерации "Регион для молодых" (далее - Конкурс) проектов, соответствующих условиям Конкурса, в целях развития и укрепления инфраструктуры молодежной политики на муниципальном уровне, повышения эффективности реализации мероприятий по работе с молодежью.</w:t>
      </w:r>
      <w:commentRangeEnd w:id="6"/>
      <w:r>
        <w:commentReference w:id="6"/>
      </w:r>
      <w:r>
        <w:rPr>
          <w:rFonts w:ascii="Times New Roman" w:hAnsi="Times New Roman" w:cs="Times New Roman"/>
          <w:sz w:val="36"/>
          <w:szCs w:val="36"/>
          <w:highlight w:val="white"/>
        </w:rPr>
      </w:r>
      <w:r>
        <w:rPr>
          <w:rFonts w:ascii="Times New Roman" w:hAnsi="Times New Roman" w:cs="Times New Roman"/>
          <w:sz w:val="36"/>
          <w:szCs w:val="36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Утвержденный сво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дный перечень проектов, предложение о распределении иных трансфертов и перечень главных распорядителей средств бюджета Новосибирской области, а также список рекомендуемых проектов для участия в Конкурсе отражаются в протоколе заседания экспертной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Порядок работы экспертной комиссии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6. Состав экспертной комиссии утверждается Правительством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7. В состав экспертной комиссии входят председатель экспертной комиссии, его заместитель, секретарь экспертной комиссии, иные члены экспертной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Для участия в работе экспертной комиссии могут приглашаться независимые эксперты.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8. Заседание экспертной комиссии считается правомочным при условии присутствия на нем не менее двух третей ее членов.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9. Председатель экспертной комиссии: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осуществляет общее руководство работой экспертной комиссии и обеспечивает выполнение настоящего Положения;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объявляет заседание экспертной комиссии правомочным или выносит решение о его переносе из-за отсутствия необходимого количества членов экспертной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формирует проект повестки очередного заседания экспертной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в случае необходимости выносит на обсуждение экспертной комиссии вопрос о привлечении к работе экспертной комиссии независимых экспертов;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несет персональную ответственность за необеспечение выполнения или не обеспечение надлежащего выполнения возложенных на экспертную комиссию функций и задач;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осуществляет иные полномочия в соответствии с законодательством и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10. В отсутствие председателя экспертной комиссии по его поручению полномочия председателя экспертной комиссии исполняет заместитель председателя экспертной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11. Секретарь экспертной комиссии: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обеспечивает подготовку материалов к заседанию экспертной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оповещает членов экспертной комиссии о месте и времени очередных ее заседаний и о повестке дня;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ведет протоколы заседаний экспертной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12. Иные члены экспертной комиссии: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присутствуют на заседаниях экспертной комиссии и принимают решения по вопросам, отнесенным к ее компетенции;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осуществляют иные полномочия в соответствии с законодательством и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13. Решение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экспертной комиссии по итогам рассмотрения проектов принимается простым большинством голосов присутствующих на заседании членов экспертной комиссии путем открытого голосования. При равенстве голосов решающим является голос председателя экспертной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Члены экспертной комиссии обладают равными правами при обсуждении вопросов о принятии решений.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36"/>
          <w:szCs w:val="36"/>
          <w:highlight w:val="white"/>
        </w:rPr>
      </w:pPr>
      <w:r>
        <w:rPr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. По результатам заседания экспертной комиссии в срок не позднее 5 рабочих дней со дня окончания заседания экспертной комиссии председатель экспертной комиссии подписывает протокол заседания экспертной комиссии</w:t>
      </w:r>
      <w:r>
        <w:rPr>
          <w:rFonts w:ascii="Times New Roman" w:hAnsi="Times New Roman" w:eastAsia="Times New Roman" w:cs="Times New Roman"/>
          <w:sz w:val="24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36"/>
          <w:szCs w:val="36"/>
          <w:highlight w:val="white"/>
        </w:rPr>
      </w:r>
      <w:r>
        <w:rPr>
          <w:rFonts w:ascii="Times New Roman" w:hAnsi="Times New Roman" w:cs="Times New Roman"/>
          <w:sz w:val="36"/>
          <w:szCs w:val="36"/>
          <w:highlight w:val="white"/>
        </w:rPr>
      </w:r>
    </w:p>
    <w:p>
      <w:pPr>
        <w:pStyle w:val="857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15. Организатор орг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низует размещение подписанного протокола заседания экспертной комиссии на официальном сайте департамента молодежной политики Новосибирской области в информационно-телекоммуникационной сети "Интернет", в срок не позднее 3 рабочих дней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от  №.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28" w:name="undefined"/>
      <w:r/>
      <w:bookmarkEnd w:id="28"/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РЕГИОНАЛЬНОЙ ЭКСПЕРТНОЙ КОМИССИИ ПО РАССМОТРЕНИЮ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УТВЕРЖДЕНИЮ СВОДНОГО ПЕРЕЧНЯ ПРОЕКТОВ МОЛОДЕЖНОГО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ИНИЦИАТИВНОГО БЮДЖЕТИРОВАНИЯ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1"/>
        <w:gridCol w:w="340"/>
        <w:gridCol w:w="697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ДУДНИКОВА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Валентина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заместитель Губернатора Новосибирской области, председатель экспертной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НОСКОВ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Василий Викторович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руководитель департамента молодежной политики Новосибирской области, заместитель председателя экспертной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ТОЛСТЫХ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Григорий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Консультант отдела реализации и развития молодежных программ и проектов департамента молодежной политики Новосибирской области, секретарь экспертной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БЛИНОВ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Сергей Петрович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автономной некоммерческой организации «Новосибирский Дом финансового просвещения»;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ДЕЕВ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Владимир Геннадьевич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министра – начальника управления государственной культурной политики министерства культуры Новосибирской области;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КОРОЛЬКОВА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Светлана Викторовна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молодежной политики Новосибирской области 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КУРНОСОВА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Марина Николаевна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министра физической культуры и спорта Новосибирской области;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МАЛИНА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Светлана Сергеевна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заместитель министра образования Новосибирской области;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ПЕТРОВ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Виктор Александрович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исполнительный директор Ассоциации «Совет муниципальных образований Новосибирской области»;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ПЕТРОВ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Дмитрий Федорович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министра региональной политики Новосибирской области;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ФАХРЕЕВА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highlight w:val="none"/>
              </w:rPr>
              <w:t xml:space="preserve">Алмира Зеферовна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 развития инициативного бюджетирования государственного казенного учреждения Новосибирской области «Региональный информационный центр»;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ШМИДТ</w:t>
              <w:br/>
              <w:t xml:space="preserve">Евгения Александровна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 реализации и развития молодежных программ и проектов департамента молодежной политики Новосибирской области;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ЯКОВЛЕВ</w:t>
              <w:br/>
              <w:t xml:space="preserve">Дмитрий Леонидович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  <w:p>
            <w:pPr>
              <w:pStyle w:val="857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73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заместитель минист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ра жилищно-коммунального хозяйства и энергетики Новосибирской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Алексанова Екатерина Борисовна" w:date="2025-05-14T11:17:00Z" w:initials="АЕБ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можем оставить, только на ДМП замени</w:t>
      </w:r>
    </w:p>
  </w:comment>
  <w:comment w:id="5" w:author="Алексанова Екатерина Борисовна" w:date="2025-05-14T11:14:00Z" w:initials="АЕБ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у бухгалтера</w:t>
      </w:r>
    </w:p>
  </w:comment>
  <w:comment w:id="4" w:author="Алексанова Екатерина Борисовна" w:date="2025-05-14T11:10:00Z" w:initials="АЕБ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Гриша!!</w:t>
      </w:r>
    </w:p>
  </w:comment>
  <w:comment w:id="3" w:author="Алексанова Екатерина Борисовна" w:date="2025-05-14T11:10:00Z" w:initials="АЕБ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Гриша!</w:t>
      </w:r>
    </w:p>
  </w:comment>
  <w:comment w:id="2" w:author="Алексанова Екатерина Борисовна" w:date="2025-05-14T11:08:00Z" w:initials="АЕБ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Я бы оставила</w:t>
      </w:r>
    </w:p>
  </w:comment>
  <w:comment w:id="1" w:author="Алексанова Екатерина Борисовна" w:date="2025-05-14T10:55:00Z" w:initials="АЕБ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то же самое. Почему только молодых семей?</w:t>
      </w:r>
    </w:p>
  </w:comment>
  <w:comment w:id="0" w:author="Алексанова Екатерина Борисовна" w:date="2025-05-14T10:55:00Z" w:initials="АЕБ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 учетом потребностей молодежи, в том числе молодых семей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  <w15:commentEx w15:paraId="00000005" w15:done="1"/>
  <w15:commentEx w15:paraId="00000006" w15:done="1"/>
  <w15:commentEx w15:paraId="000000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ECE57BF" w16cex:dateUtc="2025-05-14T04:17:00Z"/>
  <w16cex:commentExtensible w16cex:durableId="55E110E5" w16cex:dateUtc="2025-05-14T04:14:00Z"/>
  <w16cex:commentExtensible w16cex:durableId="01CF0FFC" w16cex:dateUtc="2025-05-14T04:10:00Z"/>
  <w16cex:commentExtensible w16cex:durableId="5A47DE2B" w16cex:dateUtc="2025-05-14T04:10:00Z"/>
  <w16cex:commentExtensible w16cex:durableId="2B331B07" w16cex:dateUtc="2025-05-14T04:08:00Z"/>
  <w16cex:commentExtensible w16cex:durableId="55314036" w16cex:dateUtc="2025-05-14T03:55:00Z"/>
  <w16cex:commentExtensible w16cex:durableId="08B4AB2A" w16cex:dateUtc="2025-05-14T03:5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ECE57BF"/>
  <w16cid:commentId w16cid:paraId="00000002" w16cid:durableId="55E110E5"/>
  <w16cid:commentId w16cid:paraId="00000003" w16cid:durableId="01CF0FFC"/>
  <w16cid:commentId w16cid:paraId="00000004" w16cid:durableId="5A47DE2B"/>
  <w16cid:commentId w16cid:paraId="00000005" w16cid:durableId="2B331B07"/>
  <w16cid:commentId w16cid:paraId="00000006" w16cid:durableId="55314036"/>
  <w16cid:commentId w16cid:paraId="00000007" w16cid:durableId="08B4AB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ова Екатерина Борисовна">
    <w15:presenceInfo w15:providerId="Teamlab" w15:userId="S-1-5-21-2356655543-2162514679-1277178298-45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</w:style>
  <w:style w:type="paragraph" w:styleId="659">
    <w:name w:val="Heading 1"/>
    <w:basedOn w:val="658"/>
    <w:next w:val="658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5">
    <w:name w:val="Heading 7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6">
    <w:name w:val="Heading 8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7">
    <w:name w:val="Heading 9"/>
    <w:basedOn w:val="658"/>
    <w:next w:val="658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8"/>
    <w:uiPriority w:val="10"/>
    <w:rPr>
      <w:sz w:val="48"/>
      <w:szCs w:val="48"/>
    </w:rPr>
  </w:style>
  <w:style w:type="character" w:styleId="681" w:customStyle="1">
    <w:name w:val="Subtitle Char"/>
    <w:basedOn w:val="668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Header Char"/>
    <w:basedOn w:val="668"/>
    <w:uiPriority w:val="99"/>
  </w:style>
  <w:style w:type="character" w:styleId="685" w:customStyle="1">
    <w:name w:val="Caption Char"/>
    <w:uiPriority w:val="99"/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58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after="0" w:line="240" w:lineRule="auto"/>
    </w:pPr>
  </w:style>
  <w:style w:type="paragraph" w:styleId="699">
    <w:name w:val="Title"/>
    <w:basedOn w:val="658"/>
    <w:next w:val="658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Заголовок Знак"/>
    <w:basedOn w:val="668"/>
    <w:link w:val="699"/>
    <w:uiPriority w:val="10"/>
    <w:rPr>
      <w:sz w:val="48"/>
      <w:szCs w:val="48"/>
    </w:rPr>
  </w:style>
  <w:style w:type="paragraph" w:styleId="701">
    <w:name w:val="Subtitle"/>
    <w:basedOn w:val="658"/>
    <w:next w:val="658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68"/>
    <w:link w:val="701"/>
    <w:uiPriority w:val="11"/>
    <w:rPr>
      <w:sz w:val="24"/>
      <w:szCs w:val="24"/>
    </w:rPr>
  </w:style>
  <w:style w:type="paragraph" w:styleId="703">
    <w:name w:val="Quote"/>
    <w:basedOn w:val="658"/>
    <w:next w:val="658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58"/>
    <w:next w:val="658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58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68"/>
    <w:link w:val="707"/>
    <w:uiPriority w:val="99"/>
  </w:style>
  <w:style w:type="paragraph" w:styleId="709">
    <w:name w:val="Footer"/>
    <w:basedOn w:val="658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68"/>
    <w:uiPriority w:val="99"/>
  </w:style>
  <w:style w:type="paragraph" w:styleId="711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 w:customStyle="1">
    <w:name w:val="Table Grid Light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2" w:customStyle="1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3" w:customStyle="1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4" w:customStyle="1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5" w:customStyle="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6" w:customStyle="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7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6" w:customStyle="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7" w:customStyle="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8" w:customStyle="1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9" w:customStyle="1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 w:customStyle="1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5" w:customStyle="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7" w:customStyle="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9" w:customStyle="1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0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 &amp; 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Bordered &amp; 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Bordered &amp; 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Bordered &amp; 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Bordered &amp; 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Bordered &amp; 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3" w:customStyle="1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4" w:customStyle="1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5" w:customStyle="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6" w:customStyle="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7" w:customStyle="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8">
    <w:name w:val="footnote text"/>
    <w:basedOn w:val="658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68"/>
    <w:uiPriority w:val="99"/>
    <w:unhideWhenUsed/>
    <w:rPr>
      <w:vertAlign w:val="superscript"/>
    </w:rPr>
  </w:style>
  <w:style w:type="paragraph" w:styleId="841">
    <w:name w:val="endnote text"/>
    <w:basedOn w:val="658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68"/>
    <w:uiPriority w:val="99"/>
    <w:semiHidden/>
    <w:unhideWhenUsed/>
    <w:rPr>
      <w:vertAlign w:val="superscript"/>
    </w:rPr>
  </w:style>
  <w:style w:type="paragraph" w:styleId="844">
    <w:name w:val="toc 1"/>
    <w:basedOn w:val="658"/>
    <w:next w:val="658"/>
    <w:uiPriority w:val="39"/>
    <w:unhideWhenUsed/>
    <w:pPr>
      <w:spacing w:after="57"/>
    </w:pPr>
  </w:style>
  <w:style w:type="paragraph" w:styleId="845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46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47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48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9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50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51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52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58"/>
    <w:next w:val="658"/>
    <w:uiPriority w:val="99"/>
    <w:unhideWhenUsed/>
    <w:pPr>
      <w:spacing w:after="0"/>
    </w:pPr>
  </w:style>
  <w:style w:type="table" w:styleId="855">
    <w:name w:val="Table Grid"/>
    <w:basedOn w:val="6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6">
    <w:name w:val="Hyperlink"/>
    <w:basedOn w:val="668"/>
    <w:uiPriority w:val="99"/>
    <w:semiHidden/>
    <w:unhideWhenUsed/>
    <w:rPr>
      <w:color w:val="0000ff"/>
      <w:u w:val="single"/>
    </w:rPr>
  </w:style>
  <w:style w:type="paragraph" w:styleId="85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58">
    <w:name w:val="annotation text"/>
    <w:basedOn w:val="658"/>
    <w:link w:val="859"/>
    <w:uiPriority w:val="99"/>
    <w:unhideWhenUsed/>
    <w:pPr>
      <w:spacing w:line="240" w:lineRule="auto"/>
    </w:pPr>
    <w:rPr>
      <w:sz w:val="20"/>
      <w:szCs w:val="20"/>
    </w:rPr>
  </w:style>
  <w:style w:type="character" w:styleId="859" w:customStyle="1">
    <w:name w:val="Текст примечания Знак"/>
    <w:basedOn w:val="668"/>
    <w:link w:val="858"/>
    <w:uiPriority w:val="99"/>
    <w:rPr>
      <w:sz w:val="20"/>
      <w:szCs w:val="20"/>
    </w:rPr>
  </w:style>
  <w:style w:type="paragraph" w:styleId="860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sz w:val="20"/>
      <w:szCs w:val="20"/>
      <w:lang w:val="en-US" w:eastAsia="zh-CN"/>
    </w:rPr>
  </w:style>
  <w:style w:type="paragraph" w:styleId="861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val="en-US" w:eastAsia="zh-CN"/>
    </w:rPr>
  </w:style>
  <w:style w:type="character" w:styleId="862">
    <w:name w:val="annotation reference"/>
    <w:basedOn w:val="668"/>
    <w:uiPriority w:val="99"/>
    <w:semiHidden/>
    <w:unhideWhenUsed/>
    <w:rPr>
      <w:sz w:val="16"/>
      <w:szCs w:val="16"/>
    </w:rPr>
  </w:style>
  <w:style w:type="paragraph" w:styleId="863">
    <w:name w:val="annotation subject"/>
    <w:basedOn w:val="858"/>
    <w:next w:val="858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59"/>
    <w:link w:val="863"/>
    <w:uiPriority w:val="99"/>
    <w:semiHidden/>
    <w:rPr>
      <w:b/>
      <w:bCs/>
      <w:sz w:val="20"/>
      <w:szCs w:val="20"/>
    </w:rPr>
  </w:style>
  <w:style w:type="paragraph" w:styleId="865">
    <w:name w:val="Balloon Text"/>
    <w:basedOn w:val="658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668"/>
    <w:link w:val="86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omments" Target="comments.xml" /><Relationship Id="rId10" Type="http://schemas.microsoft.com/office/2011/relationships/commentsExtended" Target="commentsExtended.xml" /><Relationship Id="rId11" Type="http://schemas.microsoft.com/office/2018/08/relationships/commentsExtensible" Target="commentsExtensible.xml" /><Relationship Id="rId12" Type="http://schemas.microsoft.com/office/2016/09/relationships/commentsIds" Target="commentsIds.xml" /><Relationship Id="rId13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Григорий Александрович</dc:creator>
  <cp:keywords/>
  <dc:description/>
  <cp:revision>16</cp:revision>
  <dcterms:created xsi:type="dcterms:W3CDTF">2025-05-14T04:18:00Z</dcterms:created>
  <dcterms:modified xsi:type="dcterms:W3CDTF">2025-05-22T09:03:30Z</dcterms:modified>
</cp:coreProperties>
</file>