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/>
    <w:bookmarkEnd w:id="0"/>
    <w:p w:rsidR="00AB5D02" w:rsidRDefault="0046563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53085" cy="64833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53085" cy="648335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5pt;height:51.05pt;mso-wrap-distance-left:0.00pt;mso-wrap-distance-top:0.00pt;mso-wrap-distance-right:0.00pt;mso-wrap-distance-bottom:0.00pt;">
                <v:path textboxrect="0,0,0,0"/>
                <v:imagedata r:id="rId10" o:title=""/>
              </v:shape>
            </w:pict>
          </mc:Fallback>
        </mc:AlternateContent>
      </w:r>
    </w:p>
    <w:p w:rsidR="00AB5D02" w:rsidRDefault="00AB5D02"/>
    <w:tbl>
      <w:tblPr>
        <w:tblStyle w:val="StGen0"/>
        <w:tblW w:w="10137" w:type="dxa"/>
        <w:tblInd w:w="-38" w:type="dxa"/>
        <w:tblLayout w:type="fixed"/>
        <w:tblLook w:val="0400" w:firstRow="0" w:lastRow="0" w:firstColumn="0" w:lastColumn="0" w:noHBand="0" w:noVBand="1"/>
      </w:tblPr>
      <w:tblGrid>
        <w:gridCol w:w="5023"/>
        <w:gridCol w:w="4174"/>
        <w:gridCol w:w="261"/>
        <w:gridCol w:w="519"/>
        <w:gridCol w:w="160"/>
      </w:tblGrid>
      <w:tr w:rsidR="00AB5D02">
        <w:trPr>
          <w:cantSplit/>
          <w:trHeight w:val="1275"/>
        </w:trPr>
        <w:tc>
          <w:tcPr>
            <w:tcW w:w="9977" w:type="dxa"/>
            <w:gridSpan w:val="4"/>
          </w:tcPr>
          <w:p w:rsidR="00AB5D02" w:rsidRDefault="00465631">
            <w:pPr>
              <w:widowControl w:val="0"/>
              <w:shd w:val="clear" w:color="auto" w:fill="FFFFFF"/>
              <w:ind w:right="-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ДЕПАРТАМЕНТ МОЛОДЕЖНОЙ ПОЛИТИКИ </w:t>
            </w:r>
          </w:p>
          <w:p w:rsidR="00AB5D02" w:rsidRDefault="00465631">
            <w:pPr>
              <w:widowControl w:val="0"/>
              <w:shd w:val="clear" w:color="auto" w:fill="FFFFFF"/>
              <w:ind w:right="-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AB5D02" w:rsidRDefault="00AB5D02">
            <w:pPr>
              <w:widowControl w:val="0"/>
              <w:shd w:val="clear" w:color="auto" w:fill="FFFFFF"/>
              <w:ind w:right="-45"/>
              <w:jc w:val="center"/>
            </w:pPr>
          </w:p>
          <w:p w:rsidR="00AB5D02" w:rsidRDefault="00465631">
            <w:pPr>
              <w:widowControl w:val="0"/>
              <w:spacing w:before="120" w:after="120" w:line="360" w:lineRule="auto"/>
              <w:ind w:right="40"/>
              <w:jc w:val="center"/>
            </w:pPr>
            <w:r>
              <w:rPr>
                <w:b/>
                <w:sz w:val="36"/>
                <w:szCs w:val="36"/>
              </w:rPr>
              <w:t>ПРИКАЗ</w:t>
            </w:r>
          </w:p>
        </w:tc>
        <w:tc>
          <w:tcPr>
            <w:tcW w:w="160" w:type="dxa"/>
          </w:tcPr>
          <w:p w:rsidR="00AB5D02" w:rsidRDefault="00AB5D02">
            <w:pPr>
              <w:widowControl w:val="0"/>
            </w:pPr>
          </w:p>
        </w:tc>
      </w:tr>
      <w:tr w:rsidR="00AB5D02">
        <w:trPr>
          <w:gridAfter w:val="1"/>
          <w:wAfter w:w="160" w:type="dxa"/>
          <w:cantSplit/>
          <w:trHeight w:val="373"/>
        </w:trPr>
        <w:tc>
          <w:tcPr>
            <w:tcW w:w="5023" w:type="dxa"/>
          </w:tcPr>
          <w:p w:rsidR="00AB5D02" w:rsidRDefault="00465631">
            <w:pPr>
              <w:pStyle w:val="3"/>
              <w:widowControl w:val="0"/>
              <w:spacing w:line="360" w:lineRule="auto"/>
              <w:jc w:val="left"/>
            </w:pPr>
            <w:r>
              <w:t>__________</w:t>
            </w:r>
          </w:p>
        </w:tc>
        <w:tc>
          <w:tcPr>
            <w:tcW w:w="4954" w:type="dxa"/>
            <w:gridSpan w:val="3"/>
          </w:tcPr>
          <w:p w:rsidR="00AB5D02" w:rsidRDefault="00465631">
            <w:pPr>
              <w:pStyle w:val="3"/>
              <w:widowControl w:val="0"/>
              <w:spacing w:line="360" w:lineRule="auto"/>
              <w:ind w:left="64"/>
            </w:pPr>
            <w:r>
              <w:t xml:space="preserve">                                                 № _____</w:t>
            </w:r>
          </w:p>
        </w:tc>
      </w:tr>
      <w:tr w:rsidR="00AB5D02">
        <w:trPr>
          <w:cantSplit/>
          <w:trHeight w:val="373"/>
        </w:trPr>
        <w:tc>
          <w:tcPr>
            <w:tcW w:w="9197" w:type="dxa"/>
            <w:gridSpan w:val="2"/>
          </w:tcPr>
          <w:p w:rsidR="00AB5D02" w:rsidRDefault="00465631">
            <w:pPr>
              <w:pStyle w:val="3"/>
              <w:widowControl w:val="0"/>
              <w:spacing w:line="360" w:lineRule="auto"/>
              <w:ind w:firstLine="682"/>
            </w:pPr>
            <w:r>
              <w:t>г. Новосибирск</w:t>
            </w:r>
          </w:p>
          <w:p w:rsidR="00AB5D02" w:rsidRDefault="00AB5D02">
            <w:pPr>
              <w:widowControl w:val="0"/>
            </w:pPr>
          </w:p>
        </w:tc>
        <w:tc>
          <w:tcPr>
            <w:tcW w:w="261" w:type="dxa"/>
          </w:tcPr>
          <w:p w:rsidR="00AB5D02" w:rsidRDefault="00AB5D02">
            <w:pPr>
              <w:pStyle w:val="3"/>
              <w:widowControl w:val="0"/>
              <w:spacing w:line="360" w:lineRule="auto"/>
              <w:ind w:left="64"/>
              <w:jc w:val="right"/>
            </w:pPr>
          </w:p>
        </w:tc>
        <w:tc>
          <w:tcPr>
            <w:tcW w:w="519" w:type="dxa"/>
          </w:tcPr>
          <w:p w:rsidR="00AB5D02" w:rsidRDefault="00AB5D02">
            <w:pPr>
              <w:widowControl w:val="0"/>
            </w:pPr>
          </w:p>
        </w:tc>
        <w:tc>
          <w:tcPr>
            <w:tcW w:w="160" w:type="dxa"/>
          </w:tcPr>
          <w:p w:rsidR="00AB5D02" w:rsidRDefault="00AB5D02">
            <w:pPr>
              <w:widowControl w:val="0"/>
            </w:pPr>
          </w:p>
        </w:tc>
      </w:tr>
      <w:tr w:rsidR="00AB5D02">
        <w:tc>
          <w:tcPr>
            <w:tcW w:w="10137" w:type="dxa"/>
            <w:gridSpan w:val="5"/>
          </w:tcPr>
          <w:p w:rsidR="00AB5D02" w:rsidRDefault="0046563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организации и проведении конкурса </w:t>
            </w:r>
            <w:r>
              <w:rPr>
                <w:b/>
                <w:sz w:val="28"/>
                <w:szCs w:val="28"/>
              </w:rPr>
              <w:t>на выделение финансовых средств на установку элементов инфраструктуры для занятий экстремальным спортом на территории муниципальных образований Новосибирской области</w:t>
            </w:r>
          </w:p>
          <w:p w:rsidR="00AB5D02" w:rsidRDefault="00AB5D0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5D02" w:rsidRDefault="00AB5D02">
      <w:pPr>
        <w:ind w:firstLine="709"/>
        <w:jc w:val="both"/>
        <w:rPr>
          <w:sz w:val="28"/>
          <w:szCs w:val="28"/>
        </w:rPr>
      </w:pPr>
    </w:p>
    <w:p w:rsidR="00AB5D02" w:rsidRDefault="00465631">
      <w:pPr>
        <w:ind w:left="-1" w:right="-2" w:firstLine="709"/>
        <w:jc w:val="both"/>
        <w:rPr>
          <w:sz w:val="28"/>
          <w:szCs w:val="28"/>
        </w:rPr>
      </w:pPr>
      <w:bookmarkStart w:id="1" w:name="undefined"/>
      <w:bookmarkEnd w:id="1"/>
      <w:r>
        <w:rPr>
          <w:sz w:val="28"/>
          <w:szCs w:val="28"/>
          <w:highlight w:val="white"/>
        </w:rPr>
        <w:t>В целях развития инфраструктуры в сфере молодежной политики Новосибирской области,</w:t>
      </w:r>
      <w:r>
        <w:rPr>
          <w:b/>
          <w:bCs/>
          <w:sz w:val="28"/>
          <w:szCs w:val="28"/>
          <w:highlight w:val="white"/>
        </w:rPr>
        <w:t xml:space="preserve"> п р и к </w:t>
      </w:r>
      <w:r>
        <w:rPr>
          <w:b/>
          <w:bCs/>
          <w:sz w:val="28"/>
          <w:szCs w:val="28"/>
        </w:rPr>
        <w:t>а з ы в а ю</w:t>
      </w:r>
      <w:r>
        <w:rPr>
          <w:sz w:val="28"/>
          <w:szCs w:val="28"/>
        </w:rPr>
        <w:t>:</w:t>
      </w:r>
    </w:p>
    <w:p w:rsidR="00AB5D02" w:rsidRDefault="006A2E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65631">
        <w:rPr>
          <w:sz w:val="28"/>
          <w:szCs w:val="28"/>
        </w:rPr>
        <w:t>Провести конкурс на выделение финансовых средств на установку элементов инфраструктуры для занятий экстремальным спортом на территории муниципальных образований Новосибирской области с 01 марта 2025 по 01 апреля 2025 года (далее - проект)</w:t>
      </w:r>
      <w:r>
        <w:rPr>
          <w:sz w:val="28"/>
          <w:szCs w:val="28"/>
        </w:rPr>
        <w:t>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о проведении конкурса на выделение финансовых средств на установку элементов инфраструктуры для занятий экстремальным спортом на территории муниципальных образований Новосибирской области (далее - Положение)</w:t>
      </w:r>
      <w:r w:rsidR="006A2E97">
        <w:rPr>
          <w:sz w:val="28"/>
          <w:szCs w:val="28"/>
        </w:rPr>
        <w:t>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 Контроль за исполнением приказа оставляю за собой.</w:t>
      </w:r>
    </w:p>
    <w:p w:rsidR="00AB5D02" w:rsidRDefault="00AB5D02">
      <w:pPr>
        <w:ind w:firstLine="708"/>
        <w:rPr>
          <w:sz w:val="28"/>
          <w:szCs w:val="28"/>
        </w:rPr>
      </w:pPr>
    </w:p>
    <w:p w:rsidR="00AB5D02" w:rsidRDefault="00AB5D02">
      <w:pPr>
        <w:ind w:firstLine="708"/>
        <w:rPr>
          <w:sz w:val="28"/>
          <w:szCs w:val="28"/>
        </w:rPr>
      </w:pPr>
    </w:p>
    <w:p w:rsidR="00AB5D02" w:rsidRDefault="00AB5D02">
      <w:pPr>
        <w:ind w:firstLine="708"/>
        <w:rPr>
          <w:sz w:val="28"/>
          <w:szCs w:val="28"/>
        </w:rPr>
      </w:pPr>
    </w:p>
    <w:p w:rsidR="00AB5D02" w:rsidRDefault="0046563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 Королькова</w:t>
      </w:r>
    </w:p>
    <w:p w:rsidR="00AB5D02" w:rsidRDefault="00AB5D02">
      <w:pPr>
        <w:jc w:val="both"/>
        <w:rPr>
          <w:sz w:val="28"/>
          <w:szCs w:val="28"/>
        </w:rPr>
      </w:pPr>
    </w:p>
    <w:p w:rsidR="00AB5D02" w:rsidRDefault="00AB5D02">
      <w:pPr>
        <w:jc w:val="both"/>
      </w:pPr>
    </w:p>
    <w:p w:rsidR="00AB5D02" w:rsidRDefault="00AB5D02">
      <w:pPr>
        <w:jc w:val="both"/>
      </w:pPr>
    </w:p>
    <w:p w:rsidR="00AB5D02" w:rsidRDefault="00AB5D02">
      <w:pPr>
        <w:jc w:val="both"/>
      </w:pPr>
    </w:p>
    <w:p w:rsidR="00AB5D02" w:rsidRDefault="00AB5D02">
      <w:pPr>
        <w:jc w:val="both"/>
      </w:pPr>
    </w:p>
    <w:p w:rsidR="00AB5D02" w:rsidRDefault="00AB5D02">
      <w:pPr>
        <w:jc w:val="both"/>
      </w:pPr>
    </w:p>
    <w:p w:rsidR="00AB5D02" w:rsidRDefault="00AB5D02">
      <w:pPr>
        <w:jc w:val="both"/>
      </w:pPr>
    </w:p>
    <w:p w:rsidR="00AB5D02" w:rsidRDefault="00AB5D02"/>
    <w:p w:rsidR="00AB5D02" w:rsidRDefault="00AB5D02"/>
    <w:p w:rsidR="00AB5D02" w:rsidRDefault="00AB5D02"/>
    <w:p w:rsidR="00AB5D02" w:rsidRDefault="00AB5D02"/>
    <w:p w:rsidR="00AB5D02" w:rsidRDefault="00AB5D02"/>
    <w:p w:rsidR="00AB5D02" w:rsidRDefault="00AB5D02"/>
    <w:p w:rsidR="00AB5D02" w:rsidRDefault="00AB5D02"/>
    <w:p w:rsidR="00AB5D02" w:rsidRDefault="00AB5D02">
      <w:pPr>
        <w:jc w:val="both"/>
        <w:rPr>
          <w:sz w:val="26"/>
          <w:szCs w:val="26"/>
        </w:rPr>
      </w:pPr>
      <w:bookmarkStart w:id="2" w:name="_GoBack"/>
      <w:bookmarkEnd w:id="2"/>
    </w:p>
    <w:p w:rsidR="00AB5D02" w:rsidRDefault="00AB5D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:rsidR="00AB5D02" w:rsidRDefault="004656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28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УТВЕРЖДЕНО</w:t>
      </w:r>
    </w:p>
    <w:p w:rsidR="00AB5D02" w:rsidRDefault="00465631">
      <w:pPr>
        <w:tabs>
          <w:tab w:val="left" w:pos="6946"/>
          <w:tab w:val="left" w:pos="9921"/>
        </w:tabs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департамента молодежной политики Новосибирской области </w:t>
      </w:r>
    </w:p>
    <w:p w:rsidR="00AB5D02" w:rsidRDefault="00465631">
      <w:pPr>
        <w:tabs>
          <w:tab w:val="left" w:pos="6946"/>
          <w:tab w:val="left" w:pos="9921"/>
        </w:tabs>
        <w:ind w:left="6946" w:hanging="425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от__________№______</w:t>
      </w:r>
    </w:p>
    <w:p w:rsidR="00AB5D02" w:rsidRDefault="00AB5D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:rsidR="00AB5D02" w:rsidRDefault="00AB5D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  <w:t>о конкурсе на выделение финансовых средств на установку элементов инфраструктуры для занятий экстремальными видами спорта на территории муниципальных образований Новосибирской области</w:t>
      </w:r>
    </w:p>
    <w:p w:rsidR="00AB5D02" w:rsidRDefault="00AB5D02">
      <w:pPr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B5D02" w:rsidRDefault="00AB5D02">
      <w:pPr>
        <w:jc w:val="both"/>
        <w:rPr>
          <w:sz w:val="28"/>
          <w:szCs w:val="28"/>
        </w:rPr>
      </w:pPr>
    </w:p>
    <w:p w:rsidR="00AB5D02" w:rsidRDefault="004656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определяет цели и задачи, устанавливает порядок организации и проведения конкурса на выделение финансовых средств для установки элементов инфраструктуры для занятий экстремальными видам спортом на территории муниципальных образований Новосибирской области (далее – Конкурс).</w:t>
      </w:r>
    </w:p>
    <w:p w:rsidR="00AB5D02" w:rsidRDefault="004656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Организатор Конкурса: департамент молодежной политики Новосибирской области.</w:t>
      </w:r>
    </w:p>
    <w:p w:rsidR="00AB5D02" w:rsidRDefault="0046563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 Конкурс проводится ежегодно в рамках реализации п. 1.4.2.2.</w:t>
      </w:r>
      <w:r>
        <w:t xml:space="preserve"> «</w:t>
      </w:r>
      <w:r>
        <w:rPr>
          <w:sz w:val="28"/>
          <w:szCs w:val="28"/>
        </w:rPr>
        <w:t>Оборудование площадок для занятий экстремальными видами спорта на территории Новосибирской области» государственной программы Новосибирской области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«Развитие государственной молодежной политики Новосибирской области».</w:t>
      </w:r>
    </w:p>
    <w:p w:rsidR="00AB5D02" w:rsidRDefault="00AB5D0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КОНКУРСА</w:t>
      </w:r>
    </w:p>
    <w:p w:rsidR="00AB5D02" w:rsidRDefault="00AB5D02">
      <w:pPr>
        <w:jc w:val="both"/>
        <w:rPr>
          <w:sz w:val="28"/>
          <w:szCs w:val="28"/>
        </w:rPr>
      </w:pP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 – оказать содействие муниципальным образованиям Новосибирской области в создании инфраструктуры для занятий воркаутом и экстремальными видами спорта.</w:t>
      </w:r>
    </w:p>
    <w:p w:rsidR="00AB5D02" w:rsidRDefault="00465631">
      <w:pPr>
        <w:ind w:left="283" w:firstLine="420"/>
        <w:jc w:val="both"/>
        <w:rPr>
          <w:sz w:val="28"/>
          <w:szCs w:val="28"/>
        </w:rPr>
      </w:pPr>
      <w:r>
        <w:rPr>
          <w:sz w:val="28"/>
          <w:szCs w:val="28"/>
        </w:rPr>
        <w:t>2.2.  Задачи:</w:t>
      </w:r>
    </w:p>
    <w:p w:rsidR="00AB5D02" w:rsidRDefault="004656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– способствовать развитию мотивации у молодежи к формированию здорового образа жизни;</w:t>
      </w:r>
    </w:p>
    <w:p w:rsidR="00AB5D02" w:rsidRDefault="004656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– способствовать привлечению молодых граждан к участию в массовых физкультурно-оздоровительных и спортивных мероприятиях;</w:t>
      </w:r>
    </w:p>
    <w:p w:rsidR="00AB5D02" w:rsidRDefault="004656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– повысить значимость физической культуры и  экстремального спорта как альтернативных форм отдыха;</w:t>
      </w:r>
    </w:p>
    <w:p w:rsidR="00AB5D02" w:rsidRDefault="004656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– способствовать развитию спортивного сообщества на территории Новосибирской области.</w:t>
      </w:r>
    </w:p>
    <w:p w:rsidR="00AB5D02" w:rsidRDefault="00AB5D02">
      <w:pPr>
        <w:jc w:val="both"/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ПОДАЧИ ЗАЯВОК НА КОНКУРС</w:t>
      </w:r>
    </w:p>
    <w:p w:rsidR="00AB5D02" w:rsidRDefault="00AB5D02">
      <w:pPr>
        <w:jc w:val="center"/>
        <w:rPr>
          <w:b/>
          <w:sz w:val="28"/>
          <w:szCs w:val="28"/>
        </w:rPr>
      </w:pP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Администрация муниципального образования, желающая установить на своей территории площадку , направляет в срок </w:t>
      </w:r>
      <w:r>
        <w:rPr>
          <w:b/>
          <w:sz w:val="28"/>
          <w:szCs w:val="28"/>
        </w:rPr>
        <w:t>до 01 апреля текущего года</w:t>
      </w:r>
      <w:r>
        <w:rPr>
          <w:sz w:val="28"/>
          <w:szCs w:val="28"/>
        </w:rPr>
        <w:t xml:space="preserve"> заявку в адрес департамента молодежной политики Новосибирской области на электронную почту </w:t>
      </w:r>
      <w:hyperlink r:id="rId11" w:tooltip="mailto:aam@apminso.ru" w:history="1">
        <w:r>
          <w:rPr>
            <w:rStyle w:val="afb"/>
            <w:sz w:val="28"/>
            <w:szCs w:val="28"/>
            <w:lang w:val="en-US"/>
          </w:rPr>
          <w:t>shar</w:t>
        </w:r>
        <w:r>
          <w:rPr>
            <w:rStyle w:val="afb"/>
            <w:sz w:val="28"/>
            <w:szCs w:val="28"/>
          </w:rPr>
          <w:t>@</w:t>
        </w:r>
        <w:r>
          <w:rPr>
            <w:rStyle w:val="afb"/>
            <w:sz w:val="28"/>
            <w:szCs w:val="28"/>
            <w:lang w:val="en-US"/>
          </w:rPr>
          <w:t>nso</w:t>
        </w:r>
        <w:r>
          <w:rPr>
            <w:rStyle w:val="afb"/>
            <w:sz w:val="28"/>
            <w:szCs w:val="28"/>
          </w:rPr>
          <w:t>.</w:t>
        </w:r>
        <w:r>
          <w:rPr>
            <w:rStyle w:val="af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по прилагаемой форме (Приложение) с пометкой «Заявка на установку инфраструктуры для экстремального спорта – наименование МО».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Каждая заявка должна содержать следующий пакет документов:</w:t>
      </w:r>
    </w:p>
    <w:p w:rsidR="00AB5D02" w:rsidRDefault="00465631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заполненную форму заявки со всеми требуемыми документами (фотографии, описание местности и пр.);</w:t>
      </w:r>
    </w:p>
    <w:p w:rsidR="00AB5D02" w:rsidRDefault="00465631">
      <w:pPr>
        <w:pStyle w:val="a5"/>
        <w:numPr>
          <w:ilvl w:val="0"/>
          <w:numId w:val="11"/>
        </w:numPr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письмо от собственника территории, на которой предполагается расположить объект. Собственник в письме дает свое разрешение на размещение мобильного объекта, соответствия требованиям местности к месту потенциальной установки объекта (приложение 2 настоящего Положения) и сообщает о возможности взять его на баланс. Письмо составляется в произвольной форме на имя руководителя департамента молодежной политики Новосибирской области.</w:t>
      </w:r>
    </w:p>
    <w:p w:rsidR="00AB5D02" w:rsidRDefault="00465631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письмо от главы муниципального образования о готовности принять средства на установку спортивных площадок в бюджет муниципального образования. Письмо составляется в произвольной форме на имя руководителя департамента молодежной политики Новосибирской области.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t> </w:t>
      </w:r>
      <w:r>
        <w:rPr>
          <w:sz w:val="28"/>
          <w:szCs w:val="28"/>
        </w:rPr>
        <w:t>Для подведения итогов конкурса создается конкурсная комиссия, состоящая из представителей департамента молодежной политики Новосибирской области, государственного бюджетного учреждения Новосибирской области «Агентство поддержки молодежных инициатив», а также профильных спортивных организаций (по согласованию).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По итогам рассмотрения заявок определяется муниципальное образование, которому будут направлены средства на установку площадок для занятий экстремальными видами спорта на территории Новосибирской области.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b/>
        </w:rPr>
        <w:t> </w:t>
      </w:r>
      <w:r>
        <w:rPr>
          <w:sz w:val="28"/>
          <w:szCs w:val="28"/>
        </w:rPr>
        <w:t>Дополнительным преимуществом станет наличие в муниципальном образовании сообщества молодых спортсменов, нуждающихся в установке и дальнейших тренировках на данных площадках для занятий экстремальными видами спорта на территории Новосибирской области.</w:t>
      </w:r>
    </w:p>
    <w:p w:rsidR="00AB5D02" w:rsidRDefault="00AB5D02">
      <w:pPr>
        <w:ind w:firstLine="709"/>
        <w:jc w:val="both"/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РЕАЛИЗАЦИИ КОНКУРСА</w:t>
      </w:r>
    </w:p>
    <w:p w:rsidR="00AB5D02" w:rsidRDefault="00AB5D02">
      <w:pPr>
        <w:rPr>
          <w:sz w:val="28"/>
          <w:szCs w:val="28"/>
        </w:rPr>
      </w:pPr>
    </w:p>
    <w:p w:rsidR="00AB5D02" w:rsidRDefault="0046563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4.1. Конкурс проводится в два этапа.</w:t>
      </w:r>
    </w:p>
    <w:p w:rsidR="00AB5D02" w:rsidRDefault="0046563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этап (сбор заявок) начинается с момента издания приказа департамента молодежной политики Новосибирской области о начале конкурса и завершается 01 апреля текущего года после выхода протокола конкурсной комиссии.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этап (размещение площадки) проводится на следующий год после проведения первого этапа. Администрация муниципального образования совместно с представительным органом муниципального образования принимают средства из бюджета Новосибирской области на размещение спортивной площадки. После окончания работ, в адрес департамента молодежной политики </w:t>
      </w:r>
      <w:r>
        <w:rPr>
          <w:color w:val="000000"/>
          <w:sz w:val="28"/>
          <w:szCs w:val="28"/>
        </w:rPr>
        <w:lastRenderedPageBreak/>
        <w:t>Новосибирской области направляется отчет о проделанной работе (не позднее 20.11).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4.2.Прием заявок от муниципальных образований - до 01.04 текущего года.</w:t>
      </w: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Работа конкурсной комиссии, определение муниципального образования, которому будут переданы средства на организацию спортивной площадки – до 20.04 текущего года.</w:t>
      </w:r>
    </w:p>
    <w:p w:rsidR="00AB5D02" w:rsidRDefault="00465631">
      <w:pPr>
        <w:tabs>
          <w:tab w:val="left" w:pos="287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rFonts w:eastAsiaTheme="minorEastAsia"/>
          <w:sz w:val="28"/>
          <w:szCs w:val="28"/>
        </w:rPr>
        <w:t>В случае признания победителем, муниципальное образование берет на себя ответственность за организацию работ по строительству спортивной площадки, а также за целостность и сохранность объекта инфраструктуры, в том числе в зимний период.</w:t>
      </w:r>
    </w:p>
    <w:p w:rsidR="00AB5D02" w:rsidRDefault="00465631">
      <w:pPr>
        <w:tabs>
          <w:tab w:val="left" w:pos="759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4.5. После размещения спортивной площадки администрация муниципального образования в срок не позднее 20.11 направляет в адрес департамента молодежной политики Новосибирской области отчет, содержащий информацию о расходовании средств на размещение спортивной площадки, фотоотчет об открытии спортивной площадки. </w:t>
      </w:r>
    </w:p>
    <w:p w:rsidR="00AB5D02" w:rsidRDefault="00AB5D02">
      <w:pPr>
        <w:ind w:firstLine="709"/>
        <w:jc w:val="both"/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КОНТАКТЫ ОРГАНИЗАТОРОВ</w:t>
      </w:r>
    </w:p>
    <w:p w:rsidR="00AB5D02" w:rsidRDefault="00AB5D02">
      <w:pPr>
        <w:jc w:val="center"/>
        <w:rPr>
          <w:b/>
          <w:sz w:val="28"/>
          <w:szCs w:val="28"/>
        </w:rPr>
      </w:pPr>
    </w:p>
    <w:p w:rsidR="00AB5D02" w:rsidRDefault="0046563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консультант отдела реализации и развития молодежных программ и проектов департамента молодежной политики Новосибирской области Шаровский Юрий Николаевич, р.т. (383) 228-67-91, shar@nso.ru</w:t>
      </w:r>
    </w:p>
    <w:p w:rsidR="00AB5D02" w:rsidRDefault="00AB5D0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B5D02" w:rsidRDefault="0046563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1</w:t>
      </w:r>
    </w:p>
    <w:p w:rsidR="00AB5D02" w:rsidRPr="004F1CCE" w:rsidRDefault="00AB5D02">
      <w:pPr>
        <w:spacing w:line="276" w:lineRule="auto"/>
        <w:jc w:val="right"/>
        <w:rPr>
          <w:rFonts w:eastAsiaTheme="minorEastAsia"/>
          <w:sz w:val="28"/>
          <w:szCs w:val="28"/>
        </w:rPr>
      </w:pPr>
    </w:p>
    <w:p w:rsidR="00AB5D02" w:rsidRPr="004F1CCE" w:rsidRDefault="00465631">
      <w:pPr>
        <w:jc w:val="center"/>
        <w:rPr>
          <w:b/>
          <w:sz w:val="28"/>
          <w:szCs w:val="28"/>
        </w:rPr>
      </w:pPr>
      <w:r w:rsidRPr="004F1CCE">
        <w:rPr>
          <w:rFonts w:eastAsiaTheme="minorEastAsia"/>
          <w:b/>
          <w:sz w:val="28"/>
          <w:szCs w:val="28"/>
        </w:rPr>
        <w:t>Заявка на участие в конкурсе</w:t>
      </w:r>
      <w:r w:rsidRPr="004F1CCE">
        <w:rPr>
          <w:b/>
          <w:sz w:val="28"/>
          <w:szCs w:val="28"/>
        </w:rPr>
        <w:t xml:space="preserve"> на установку оборудования для занятий экстремальным спортом на территории муниципальных образований Новосибирской области</w:t>
      </w:r>
    </w:p>
    <w:p w:rsidR="00AB5D02" w:rsidRPr="004F1CCE" w:rsidRDefault="00AB5D02">
      <w:pPr>
        <w:rPr>
          <w:rFonts w:eastAsiaTheme="minorEastAsia"/>
          <w:b/>
          <w:sz w:val="28"/>
          <w:szCs w:val="28"/>
        </w:rPr>
      </w:pPr>
    </w:p>
    <w:tbl>
      <w:tblPr>
        <w:tblStyle w:val="13"/>
        <w:tblW w:w="9639" w:type="dxa"/>
        <w:tblInd w:w="392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AB5D02" w:rsidRPr="004F1CCE">
        <w:trPr>
          <w:trHeight w:val="453"/>
        </w:trPr>
        <w:tc>
          <w:tcPr>
            <w:tcW w:w="3827" w:type="dxa"/>
          </w:tcPr>
          <w:p w:rsidR="00AB5D02" w:rsidRPr="004F1CCE" w:rsidRDefault="00465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B5D02" w:rsidRPr="004F1CCE">
        <w:trPr>
          <w:trHeight w:val="373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812" w:type="dxa"/>
          </w:tcPr>
          <w:p w:rsidR="00AB5D02" w:rsidRPr="004F1CCE" w:rsidRDefault="00AB5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02" w:rsidRPr="004F1CCE">
        <w:trPr>
          <w:trHeight w:val="859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Ф.И.О., должность, контактный телефон, электронная почта</w:t>
            </w:r>
          </w:p>
        </w:tc>
      </w:tr>
      <w:tr w:rsidR="00AB5D02" w:rsidRPr="004F1CCE">
        <w:trPr>
          <w:trHeight w:val="595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Тип оборудования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 xml:space="preserve">Воркаут –площадка, мини–рампа, скейт–парк </w:t>
            </w:r>
            <w:r w:rsidRPr="004F1CCE">
              <w:rPr>
                <w:rFonts w:ascii="Times New Roman" w:hAnsi="Times New Roman" w:cs="Times New Roman"/>
                <w:i/>
                <w:sz w:val="28"/>
                <w:szCs w:val="28"/>
              </w:rPr>
              <w:t>(выбрать)</w:t>
            </w:r>
          </w:p>
        </w:tc>
      </w:tr>
      <w:tr w:rsidR="00AB5D02" w:rsidRPr="004F1CCE">
        <w:trPr>
          <w:trHeight w:val="827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Адрес для размещения объекта</w:t>
            </w:r>
          </w:p>
        </w:tc>
        <w:tc>
          <w:tcPr>
            <w:tcW w:w="5812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Планируемое территориальное местонахождение объекта (прикрепить скриншот с обозначением на карте).</w:t>
            </w:r>
          </w:p>
        </w:tc>
      </w:tr>
      <w:tr w:rsidR="00AB5D02" w:rsidRPr="004F1CCE">
        <w:trPr>
          <w:trHeight w:val="1134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Характеристика территории для размещения объекта</w:t>
            </w:r>
            <w:r w:rsidRPr="004F1CC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земельном участке (площадь, кадастровый номер, собственник).</w:t>
            </w:r>
          </w:p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Описание местности: парк, спортивная площадка и т.д. с указанием площади  на которой будет находиться мобильный объект.</w:t>
            </w:r>
          </w:p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Характеристика дорожного покрытия: асфальт, тротуарная плитка, земля, песок и т.д.</w:t>
            </w:r>
          </w:p>
        </w:tc>
      </w:tr>
      <w:tr w:rsidR="00AB5D02" w:rsidRPr="004F1CCE">
        <w:trPr>
          <w:trHeight w:val="1244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Фотографии площадки для размещения объекта 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 фотографии с 4 ракурсов либо панорамная фотография (разрешение не менее 1920*1440 пикселей).</w:t>
            </w:r>
          </w:p>
        </w:tc>
      </w:tr>
      <w:tr w:rsidR="00AB5D02" w:rsidRPr="004F1CCE">
        <w:trPr>
          <w:trHeight w:val="928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План мероприятий планируемых на территории площадки на год размещения и последующий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Указать: месяц проведения, формат мероприятия, предполагаемое количество участников.</w:t>
            </w:r>
          </w:p>
        </w:tc>
      </w:tr>
      <w:tr w:rsidR="00AB5D02" w:rsidRPr="004F1CCE">
        <w:trPr>
          <w:trHeight w:val="1340"/>
        </w:trPr>
        <w:tc>
          <w:tcPr>
            <w:tcW w:w="3827" w:type="dxa"/>
          </w:tcPr>
          <w:p w:rsidR="00AB5D02" w:rsidRPr="004F1CCE" w:rsidRDefault="0046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Обоснование (актуальность)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Почему объект мобильной инфраструктуры для занятий экстремальными видами спорта необходимо разместитесь на территории вашего муниципального образования.</w:t>
            </w:r>
          </w:p>
        </w:tc>
      </w:tr>
      <w:tr w:rsidR="00AB5D02" w:rsidRPr="004F1CCE">
        <w:trPr>
          <w:trHeight w:val="2577"/>
        </w:trPr>
        <w:tc>
          <w:tcPr>
            <w:tcW w:w="3827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Проекты (мероприятия) ранее реализованные на территории муниципального образования по направлению стрит-культур</w:t>
            </w:r>
          </w:p>
        </w:tc>
        <w:tc>
          <w:tcPr>
            <w:tcW w:w="5812" w:type="dxa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1. Описание проекта (мероприятия) с указанием количества участников.</w:t>
            </w:r>
          </w:p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2. Ссылки на социальные сети /СМИ о реализованном проекте (мероприятии).</w:t>
            </w:r>
          </w:p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3. Фотоотчет по итогам реализации проекта (мероприятия), не менее 5 фотографий, отражающих суть мероприятия.</w:t>
            </w:r>
          </w:p>
        </w:tc>
      </w:tr>
      <w:tr w:rsidR="00AB5D02" w:rsidRPr="004F1CCE">
        <w:trPr>
          <w:trHeight w:val="1984"/>
        </w:trPr>
        <w:tc>
          <w:tcPr>
            <w:tcW w:w="3827" w:type="dxa"/>
            <w:vMerge w:val="restart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 проекта</w:t>
            </w:r>
          </w:p>
        </w:tc>
        <w:tc>
          <w:tcPr>
            <w:tcW w:w="5812" w:type="dxa"/>
            <w:vMerge w:val="restart"/>
          </w:tcPr>
          <w:p w:rsidR="00AB5D02" w:rsidRPr="004F1CCE" w:rsidRDefault="0046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CCE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(указывается стоимость услуг, стоимость материалов, при необходимости – сумма, которую муниципальное образование готово дополнительно привлечь на реализацию проекта).</w:t>
            </w:r>
          </w:p>
        </w:tc>
      </w:tr>
    </w:tbl>
    <w:p w:rsidR="00AB5D02" w:rsidRPr="004F1CCE" w:rsidRDefault="00AB5D02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AB5D02" w:rsidRPr="004F1CCE" w:rsidRDefault="00465631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4F1CCE">
        <w:rPr>
          <w:rFonts w:eastAsiaTheme="minorEastAsia"/>
          <w:sz w:val="28"/>
          <w:szCs w:val="28"/>
        </w:rPr>
        <w:t xml:space="preserve">   Подпись главы муниципального образования Новосибирской области</w:t>
      </w:r>
    </w:p>
    <w:p w:rsidR="00AB5D02" w:rsidRDefault="004656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 w:clear="all"/>
      </w:r>
    </w:p>
    <w:p w:rsidR="00AB5D02" w:rsidRDefault="00465631">
      <w:pPr>
        <w:spacing w:line="276" w:lineRule="auto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Приложение 2</w:t>
      </w:r>
    </w:p>
    <w:p w:rsidR="00AB5D02" w:rsidRDefault="00AB5D02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AB5D02" w:rsidRDefault="00465631">
      <w:pPr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ТРЕБОВАНИЯ К МЕСТАМ УСТАНОВКИ ПЛОЩАДОК ДЛЯ ЗАНЯТИЙ ЭКСТРИМАЛЬНЫМИ ВИДАМИ СПОРТА</w:t>
      </w:r>
    </w:p>
    <w:p w:rsidR="00AB5D02" w:rsidRDefault="00AB5D02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AB5D02" w:rsidRDefault="00465631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МЕСТУ УСТАНОВКИ ВОРКАУТ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ПЛОЩАДКИ</w:t>
      </w:r>
    </w:p>
    <w:p w:rsidR="00AB5D02" w:rsidRDefault="00AB5D02">
      <w:pPr>
        <w:rPr>
          <w:sz w:val="28"/>
          <w:szCs w:val="28"/>
        </w:rPr>
      </w:pP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для установки воркаут–площадки должно соответствовать следующим требованиям: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качестве основания для площадки может </w:t>
      </w:r>
      <w:r w:rsidR="004F1CCE">
        <w:rPr>
          <w:sz w:val="28"/>
          <w:szCs w:val="28"/>
        </w:rPr>
        <w:t>быть выбран</w:t>
      </w:r>
      <w:r>
        <w:rPr>
          <w:sz w:val="28"/>
          <w:szCs w:val="28"/>
        </w:rPr>
        <w:t xml:space="preserve"> ровный, без сильно выраженных уклонов, низменностей и выпуклостей участок почвы или бетона площадью не менее 10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16 метров, освобожденный от зеленых насаждений;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 месте установки площадки должны отсутствовать</w:t>
      </w:r>
      <w:r>
        <w:rPr>
          <w:rFonts w:ascii="Apax CY" w:hAnsi="Apax CY"/>
          <w:b/>
          <w:bCs/>
          <w:color w:val="000000"/>
        </w:rPr>
        <w:t xml:space="preserve"> </w:t>
      </w:r>
      <w:r>
        <w:rPr>
          <w:sz w:val="28"/>
          <w:szCs w:val="28"/>
        </w:rPr>
        <w:t>надземные и подземные коммуникации, в том числе газовые (над местом установки площадки);</w:t>
      </w:r>
    </w:p>
    <w:p w:rsidR="00AB5D02" w:rsidRDefault="00465631">
      <w:pPr>
        <w:ind w:firstLine="720"/>
        <w:jc w:val="both"/>
        <w:rPr>
          <w:rFonts w:ascii="Apax CY" w:hAnsi="Apax CY"/>
          <w:b/>
          <w:bCs/>
          <w:color w:val="000000"/>
        </w:rPr>
      </w:pPr>
      <w:r>
        <w:rPr>
          <w:sz w:val="28"/>
          <w:szCs w:val="28"/>
        </w:rPr>
        <w:t xml:space="preserve">– место должно быть </w:t>
      </w:r>
      <w:r>
        <w:rPr>
          <w:rFonts w:hint="eastAsia"/>
          <w:sz w:val="28"/>
          <w:szCs w:val="28"/>
        </w:rPr>
        <w:t>у</w:t>
      </w:r>
      <w:r>
        <w:rPr>
          <w:sz w:val="28"/>
          <w:szCs w:val="28"/>
        </w:rPr>
        <w:t>далено от жилых домов не менее чем на 20 метров и</w:t>
      </w:r>
      <w:r>
        <w:rPr>
          <w:rFonts w:ascii="Apax CY" w:hAnsi="Apax CY"/>
          <w:b/>
          <w:bCs/>
          <w:color w:val="000000"/>
        </w:rPr>
        <w:t xml:space="preserve"> </w:t>
      </w:r>
      <w:r>
        <w:rPr>
          <w:sz w:val="28"/>
          <w:szCs w:val="28"/>
        </w:rPr>
        <w:t>расположено в центральной части муниципалитета/в месте скопления молодежи (не рассматриваются заявки с потенциальным расположением площадки на окраине муниципалитета, в лесу и т.п.);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границы участка установлены (проведено межевание); назначение участка не противоречит установке на нем спортивной площадки;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муниципальное образование гарантирует строительство и благоустройство площадки (засыпка отсевом – для установки воркаут–площадки, установка лавочек, мусорных баков, ограждения и освещения и пр.) после ее установки с соблюдением мер безопасности для потенциальных пользователей спортивных снарядов.</w:t>
      </w:r>
    </w:p>
    <w:p w:rsidR="00AB5D02" w:rsidRDefault="00AB5D02">
      <w:pPr>
        <w:jc w:val="both"/>
        <w:rPr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МЕСТУ УСТАНОВКИ МИНИ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РАМПЫ</w:t>
      </w:r>
    </w:p>
    <w:p w:rsidR="00AB5D02" w:rsidRDefault="00AB5D02">
      <w:pPr>
        <w:rPr>
          <w:sz w:val="28"/>
          <w:szCs w:val="28"/>
        </w:rPr>
      </w:pP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для установки мини–рампы должно соответствовать следующим требованиям: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качестве основания для площадки может быть выбран ровный, без сильно выраженных уклонов, низменностей и выпуклостей участок почвы, </w:t>
      </w:r>
      <w:r>
        <w:rPr>
          <w:color w:val="000000" w:themeColor="text1"/>
          <w:sz w:val="28"/>
          <w:szCs w:val="28"/>
        </w:rPr>
        <w:t>бетонной плиты, ас</w:t>
      </w:r>
      <w:r>
        <w:rPr>
          <w:sz w:val="28"/>
          <w:szCs w:val="28"/>
        </w:rPr>
        <w:t>фальта или тротуарной плитки площадью не менее 10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16 метров, освобожденный от зеленых насаждений;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 месте установки площадки должны отсутствовать</w:t>
      </w:r>
      <w:r>
        <w:rPr>
          <w:rFonts w:ascii="Apax CY" w:hAnsi="Apax CY"/>
          <w:b/>
          <w:bCs/>
          <w:color w:val="000000"/>
        </w:rPr>
        <w:t xml:space="preserve"> </w:t>
      </w:r>
      <w:r>
        <w:rPr>
          <w:sz w:val="28"/>
          <w:szCs w:val="28"/>
        </w:rPr>
        <w:t>надземные и подземные коммуникации, в том числе газовые (над местом установки площадки);</w:t>
      </w:r>
    </w:p>
    <w:p w:rsidR="00AB5D02" w:rsidRDefault="00465631">
      <w:pPr>
        <w:ind w:firstLine="720"/>
        <w:jc w:val="both"/>
        <w:rPr>
          <w:rFonts w:ascii="Apax CY" w:hAnsi="Apax CY"/>
          <w:b/>
          <w:bCs/>
          <w:color w:val="000000"/>
        </w:rPr>
      </w:pPr>
      <w:r>
        <w:rPr>
          <w:sz w:val="28"/>
          <w:szCs w:val="28"/>
        </w:rPr>
        <w:t xml:space="preserve">– место должно быть </w:t>
      </w:r>
      <w:r>
        <w:rPr>
          <w:rFonts w:hint="eastAsia"/>
          <w:sz w:val="28"/>
          <w:szCs w:val="28"/>
        </w:rPr>
        <w:t>у</w:t>
      </w:r>
      <w:r>
        <w:rPr>
          <w:sz w:val="28"/>
          <w:szCs w:val="28"/>
        </w:rPr>
        <w:t>далено от жилых домов не менее чем на 40 метров и</w:t>
      </w:r>
      <w:r>
        <w:rPr>
          <w:rFonts w:ascii="Apax CY" w:hAnsi="Apax CY"/>
          <w:b/>
          <w:bCs/>
          <w:color w:val="000000"/>
        </w:rPr>
        <w:t xml:space="preserve"> </w:t>
      </w:r>
      <w:r>
        <w:rPr>
          <w:sz w:val="28"/>
          <w:szCs w:val="28"/>
        </w:rPr>
        <w:t>расположено в центральной части муниципалитета/в месте скопления молодежи (не рассматриваются заявки с потенциальным расположением площадки на окраине муниципалитета, в лесу и т.п.);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границы участка установлены (проведено межевание); назначение участка не противоречит установке на нем спортивной площадки;</w:t>
      </w:r>
    </w:p>
    <w:p w:rsidR="00AB5D02" w:rsidRDefault="00465631">
      <w:pPr>
        <w:ind w:firstLine="720"/>
        <w:jc w:val="both"/>
        <w:rPr>
          <w:rFonts w:ascii="Roboto" w:hAnsi="Roboto"/>
          <w:color w:val="333333"/>
          <w:sz w:val="24"/>
          <w:szCs w:val="24"/>
        </w:rPr>
      </w:pPr>
      <w:r>
        <w:rPr>
          <w:sz w:val="28"/>
          <w:szCs w:val="28"/>
        </w:rPr>
        <w:t xml:space="preserve">– муниципальное образование гарантирует строительство и благоустройство площадки (наличие подхода к мини-рампе не по щебню, песку или грунту; </w:t>
      </w:r>
      <w:r>
        <w:rPr>
          <w:sz w:val="28"/>
          <w:szCs w:val="28"/>
        </w:rPr>
        <w:lastRenderedPageBreak/>
        <w:t>необходимо установить лавочки, мусорные быки, ограждения и освещения и пр.) после ее установки с соблюдением мер безопасности для потенциальных пользователей.</w:t>
      </w:r>
    </w:p>
    <w:p w:rsidR="00AB5D02" w:rsidRDefault="00AB5D02">
      <w:pPr>
        <w:jc w:val="center"/>
        <w:rPr>
          <w:b/>
          <w:sz w:val="28"/>
          <w:szCs w:val="28"/>
        </w:rPr>
      </w:pPr>
    </w:p>
    <w:p w:rsidR="00AB5D02" w:rsidRDefault="00465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МЕСТУ УСТАНОВКИ СКЕЙТ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>ПАРКА</w:t>
      </w:r>
    </w:p>
    <w:p w:rsidR="00AB5D02" w:rsidRDefault="00AB5D02">
      <w:pPr>
        <w:jc w:val="center"/>
        <w:rPr>
          <w:b/>
          <w:sz w:val="28"/>
          <w:szCs w:val="28"/>
        </w:rPr>
      </w:pPr>
    </w:p>
    <w:p w:rsidR="00AB5D02" w:rsidRDefault="00465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для установки скейт– парка должно соответствовать следующим требованиям: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качестве основания для площадки может быть выбран ровный, без сильно выраженных уклонов, низменностей и выпуклостей участок бетонной </w:t>
      </w:r>
      <w:r w:rsidR="004F1CCE">
        <w:rPr>
          <w:sz w:val="28"/>
          <w:szCs w:val="28"/>
        </w:rPr>
        <w:t>плиты или</w:t>
      </w:r>
      <w:r>
        <w:rPr>
          <w:sz w:val="28"/>
          <w:szCs w:val="28"/>
        </w:rPr>
        <w:t xml:space="preserve"> асфальта (мелкой фракции) площадью не менее 35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15 метров (асфальт без видимых серьезных трещин, сколов и неровностей);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 месте установки площадки должны отсутствовать</w:t>
      </w:r>
      <w:r>
        <w:rPr>
          <w:rFonts w:ascii="Apax CY" w:hAnsi="Apax CY"/>
          <w:b/>
          <w:bCs/>
          <w:color w:val="000000"/>
        </w:rPr>
        <w:t xml:space="preserve"> </w:t>
      </w:r>
      <w:r>
        <w:rPr>
          <w:sz w:val="28"/>
          <w:szCs w:val="28"/>
        </w:rPr>
        <w:t>надземные и подземные коммуникации;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место должно быть </w:t>
      </w:r>
      <w:r>
        <w:rPr>
          <w:rFonts w:hint="eastAsia"/>
          <w:sz w:val="28"/>
          <w:szCs w:val="28"/>
        </w:rPr>
        <w:t>у</w:t>
      </w:r>
      <w:r>
        <w:rPr>
          <w:sz w:val="28"/>
          <w:szCs w:val="28"/>
        </w:rPr>
        <w:t>далено от жилых домов не менее чем на 40 метров и расположено в центральной части муниципалитета/в месте скопления молодежи (не рассматриваются заявки с потенциальным расположением площадки на окраине муниципалитета, в лесу и т.п.);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у скейт-парка должна быть входная зона, которая примыкает к ближайшему тротуару или тропиночной сети;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границы участка установлены (проведено межевание); назначение участка не противоречит установке на нем спортивной площадки;</w:t>
      </w:r>
    </w:p>
    <w:p w:rsidR="00AB5D02" w:rsidRDefault="00465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муниципальное образование гарантирует строительство и благоустройство площадки (установка лавочек, мусорных баков, ограждения и освещения и пр.) после ее установки с соблюдением мер безопасности для потенциальных пользователей спортивных снарядов.</w:t>
      </w:r>
    </w:p>
    <w:p w:rsidR="00AB5D02" w:rsidRDefault="00AB5D02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AB5D02" w:rsidRDefault="00AB5D02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AB5D02" w:rsidRDefault="00465631">
      <w:pPr>
        <w:spacing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</w:t>
      </w:r>
    </w:p>
    <w:p w:rsidR="00AB5D02" w:rsidRDefault="004656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</w:p>
    <w:sectPr w:rsidR="00AB5D02">
      <w:pgSz w:w="11906" w:h="16838"/>
      <w:pgMar w:top="1134" w:right="566" w:bottom="1134" w:left="1418" w:header="0" w:footer="0" w:gutter="0"/>
      <w:cols w:space="170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EBA9EFC" w16cex:dateUtc="2025-02-17T04:21:00Z"/>
  <w16cex:commentExtensible w16cex:durableId="5C1C0357" w16cex:dateUtc="2025-02-17T04:19:00Z"/>
  <w16cex:commentExtensible w16cex:durableId="619C2F48" w16cex:dateUtc="2025-02-17T04:19:00Z"/>
  <w16cex:commentExtensible w16cex:durableId="3316FCBA" w16cex:dateUtc="2025-02-17T04:15:00Z"/>
  <w16cex:commentExtensible w16cex:durableId="24825662" w16cex:dateUtc="2025-02-17T04:1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BA9EFC"/>
  <w16cid:commentId w16cid:paraId="00000002" w16cid:durableId="5C1C0357"/>
  <w16cid:commentId w16cid:paraId="00000003" w16cid:durableId="619C2F48"/>
  <w16cid:commentId w16cid:paraId="00000004" w16cid:durableId="3316FCBA"/>
  <w16cid:commentId w16cid:paraId="00000005" w16cid:durableId="2482566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BC" w:rsidRDefault="00353DBC">
      <w:r>
        <w:separator/>
      </w:r>
    </w:p>
  </w:endnote>
  <w:endnote w:type="continuationSeparator" w:id="0">
    <w:p w:rsidR="00353DBC" w:rsidRDefault="0035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charset w:val="00"/>
    <w:family w:val="auto"/>
    <w:pitch w:val="default"/>
  </w:font>
  <w:font w:name="Apax CY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BC" w:rsidRDefault="00353DBC">
      <w:r>
        <w:separator/>
      </w:r>
    </w:p>
  </w:footnote>
  <w:footnote w:type="continuationSeparator" w:id="0">
    <w:p w:rsidR="00353DBC" w:rsidRDefault="0035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48D5"/>
    <w:multiLevelType w:val="hybridMultilevel"/>
    <w:tmpl w:val="CD48BD4E"/>
    <w:lvl w:ilvl="0" w:tplc="0CD4608C">
      <w:start w:val="1"/>
      <w:numFmt w:val="decimal"/>
      <w:lvlText w:val="%1)"/>
      <w:lvlJc w:val="right"/>
      <w:pPr>
        <w:ind w:left="720" w:hanging="360"/>
      </w:pPr>
    </w:lvl>
    <w:lvl w:ilvl="1" w:tplc="3B384D66">
      <w:start w:val="1"/>
      <w:numFmt w:val="lowerLetter"/>
      <w:lvlText w:val="%2."/>
      <w:lvlJc w:val="left"/>
      <w:pPr>
        <w:ind w:left="1440" w:hanging="360"/>
      </w:pPr>
    </w:lvl>
    <w:lvl w:ilvl="2" w:tplc="DBEC68BE">
      <w:start w:val="1"/>
      <w:numFmt w:val="lowerRoman"/>
      <w:lvlText w:val="%3."/>
      <w:lvlJc w:val="right"/>
      <w:pPr>
        <w:ind w:left="2160" w:hanging="180"/>
      </w:pPr>
    </w:lvl>
    <w:lvl w:ilvl="3" w:tplc="C0642CA6">
      <w:start w:val="1"/>
      <w:numFmt w:val="decimal"/>
      <w:lvlText w:val="%4."/>
      <w:lvlJc w:val="left"/>
      <w:pPr>
        <w:ind w:left="2880" w:hanging="360"/>
      </w:pPr>
    </w:lvl>
    <w:lvl w:ilvl="4" w:tplc="328EEC88">
      <w:start w:val="1"/>
      <w:numFmt w:val="lowerLetter"/>
      <w:lvlText w:val="%5."/>
      <w:lvlJc w:val="left"/>
      <w:pPr>
        <w:ind w:left="3600" w:hanging="360"/>
      </w:pPr>
    </w:lvl>
    <w:lvl w:ilvl="5" w:tplc="E0EA33F6">
      <w:start w:val="1"/>
      <w:numFmt w:val="lowerRoman"/>
      <w:lvlText w:val="%6."/>
      <w:lvlJc w:val="right"/>
      <w:pPr>
        <w:ind w:left="4320" w:hanging="180"/>
      </w:pPr>
    </w:lvl>
    <w:lvl w:ilvl="6" w:tplc="E1C27BB4">
      <w:start w:val="1"/>
      <w:numFmt w:val="decimal"/>
      <w:lvlText w:val="%7."/>
      <w:lvlJc w:val="left"/>
      <w:pPr>
        <w:ind w:left="5040" w:hanging="360"/>
      </w:pPr>
    </w:lvl>
    <w:lvl w:ilvl="7" w:tplc="3E40A2C2">
      <w:start w:val="1"/>
      <w:numFmt w:val="lowerLetter"/>
      <w:lvlText w:val="%8."/>
      <w:lvlJc w:val="left"/>
      <w:pPr>
        <w:ind w:left="5760" w:hanging="360"/>
      </w:pPr>
    </w:lvl>
    <w:lvl w:ilvl="8" w:tplc="601815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235"/>
    <w:multiLevelType w:val="hybridMultilevel"/>
    <w:tmpl w:val="65EC6F32"/>
    <w:lvl w:ilvl="0" w:tplc="3982AA4A">
      <w:start w:val="1"/>
      <w:numFmt w:val="decimal"/>
      <w:lvlText w:val="%1."/>
      <w:lvlJc w:val="left"/>
      <w:pPr>
        <w:ind w:left="493" w:hanging="2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886E62C2">
      <w:numFmt w:val="bullet"/>
      <w:lvlText w:val="-"/>
      <w:lvlJc w:val="left"/>
      <w:pPr>
        <w:ind w:left="1153" w:hanging="75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 w:tplc="0958D96E">
      <w:numFmt w:val="bullet"/>
      <w:lvlText w:val="•"/>
      <w:lvlJc w:val="left"/>
      <w:pPr>
        <w:ind w:left="2087" w:hanging="758"/>
      </w:pPr>
    </w:lvl>
    <w:lvl w:ilvl="3" w:tplc="D8143266">
      <w:numFmt w:val="bullet"/>
      <w:lvlText w:val="•"/>
      <w:lvlJc w:val="left"/>
      <w:pPr>
        <w:ind w:left="3015" w:hanging="758"/>
      </w:pPr>
    </w:lvl>
    <w:lvl w:ilvl="4" w:tplc="DCE282B6">
      <w:numFmt w:val="bullet"/>
      <w:lvlText w:val="•"/>
      <w:lvlJc w:val="left"/>
      <w:pPr>
        <w:ind w:left="3943" w:hanging="758"/>
      </w:pPr>
    </w:lvl>
    <w:lvl w:ilvl="5" w:tplc="F858CAB6">
      <w:numFmt w:val="bullet"/>
      <w:lvlText w:val="•"/>
      <w:lvlJc w:val="left"/>
      <w:pPr>
        <w:ind w:left="4871" w:hanging="758"/>
      </w:pPr>
    </w:lvl>
    <w:lvl w:ilvl="6" w:tplc="563A73C8">
      <w:numFmt w:val="bullet"/>
      <w:lvlText w:val="•"/>
      <w:lvlJc w:val="left"/>
      <w:pPr>
        <w:ind w:left="5799" w:hanging="758"/>
      </w:pPr>
    </w:lvl>
    <w:lvl w:ilvl="7" w:tplc="35766666">
      <w:numFmt w:val="bullet"/>
      <w:lvlText w:val="•"/>
      <w:lvlJc w:val="left"/>
      <w:pPr>
        <w:ind w:left="6727" w:hanging="757"/>
      </w:pPr>
    </w:lvl>
    <w:lvl w:ilvl="8" w:tplc="E5301CCE">
      <w:numFmt w:val="bullet"/>
      <w:lvlText w:val="•"/>
      <w:lvlJc w:val="left"/>
      <w:pPr>
        <w:ind w:left="7655" w:hanging="758"/>
      </w:pPr>
    </w:lvl>
  </w:abstractNum>
  <w:abstractNum w:abstractNumId="2" w15:restartNumberingAfterBreak="0">
    <w:nsid w:val="1D66026B"/>
    <w:multiLevelType w:val="hybridMultilevel"/>
    <w:tmpl w:val="EA86C254"/>
    <w:lvl w:ilvl="0" w:tplc="81C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B73E5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EC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6491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58F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3E4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0A26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8EA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8FB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BD16B5"/>
    <w:multiLevelType w:val="multilevel"/>
    <w:tmpl w:val="27BCD992"/>
    <w:lvl w:ilvl="0">
      <w:start w:val="1"/>
      <w:numFmt w:val="decimal"/>
      <w:lvlText w:val="%1"/>
      <w:lvlJc w:val="left"/>
      <w:pPr>
        <w:ind w:left="1147" w:hanging="700"/>
      </w:pPr>
    </w:lvl>
    <w:lvl w:ilvl="1">
      <w:start w:val="5"/>
      <w:numFmt w:val="decimal"/>
      <w:lvlText w:val="%1.%2."/>
      <w:lvlJc w:val="left"/>
      <w:pPr>
        <w:ind w:left="1147" w:hanging="70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814" w:hanging="700"/>
      </w:pPr>
    </w:lvl>
    <w:lvl w:ilvl="3">
      <w:numFmt w:val="bullet"/>
      <w:lvlText w:val="•"/>
      <w:lvlJc w:val="left"/>
      <w:pPr>
        <w:ind w:left="3651" w:hanging="700"/>
      </w:pPr>
    </w:lvl>
    <w:lvl w:ilvl="4">
      <w:numFmt w:val="bullet"/>
      <w:lvlText w:val="•"/>
      <w:lvlJc w:val="left"/>
      <w:pPr>
        <w:ind w:left="4488" w:hanging="700"/>
      </w:pPr>
    </w:lvl>
    <w:lvl w:ilvl="5">
      <w:numFmt w:val="bullet"/>
      <w:lvlText w:val="•"/>
      <w:lvlJc w:val="left"/>
      <w:pPr>
        <w:ind w:left="5325" w:hanging="700"/>
      </w:pPr>
    </w:lvl>
    <w:lvl w:ilvl="6">
      <w:numFmt w:val="bullet"/>
      <w:lvlText w:val="•"/>
      <w:lvlJc w:val="left"/>
      <w:pPr>
        <w:ind w:left="6162" w:hanging="700"/>
      </w:pPr>
    </w:lvl>
    <w:lvl w:ilvl="7">
      <w:numFmt w:val="bullet"/>
      <w:lvlText w:val="•"/>
      <w:lvlJc w:val="left"/>
      <w:pPr>
        <w:ind w:left="6999" w:hanging="700"/>
      </w:pPr>
    </w:lvl>
    <w:lvl w:ilvl="8">
      <w:numFmt w:val="bullet"/>
      <w:lvlText w:val="•"/>
      <w:lvlJc w:val="left"/>
      <w:pPr>
        <w:ind w:left="7836" w:hanging="700"/>
      </w:pPr>
    </w:lvl>
  </w:abstractNum>
  <w:abstractNum w:abstractNumId="4" w15:restartNumberingAfterBreak="0">
    <w:nsid w:val="38566BEB"/>
    <w:multiLevelType w:val="hybridMultilevel"/>
    <w:tmpl w:val="ED94CA1A"/>
    <w:lvl w:ilvl="0" w:tplc="E902882E">
      <w:start w:val="1"/>
      <w:numFmt w:val="decimal"/>
      <w:lvlText w:val="%1)"/>
      <w:lvlJc w:val="right"/>
      <w:pPr>
        <w:ind w:left="720" w:hanging="360"/>
      </w:pPr>
      <w:rPr>
        <w:sz w:val="28"/>
      </w:rPr>
    </w:lvl>
    <w:lvl w:ilvl="1" w:tplc="D97ABA10">
      <w:start w:val="1"/>
      <w:numFmt w:val="lowerLetter"/>
      <w:lvlText w:val="%2."/>
      <w:lvlJc w:val="left"/>
      <w:pPr>
        <w:ind w:left="1440" w:hanging="360"/>
      </w:pPr>
    </w:lvl>
    <w:lvl w:ilvl="2" w:tplc="948A0C38">
      <w:start w:val="1"/>
      <w:numFmt w:val="lowerRoman"/>
      <w:lvlText w:val="%3."/>
      <w:lvlJc w:val="right"/>
      <w:pPr>
        <w:ind w:left="2160" w:hanging="180"/>
      </w:pPr>
    </w:lvl>
    <w:lvl w:ilvl="3" w:tplc="2B500C82">
      <w:start w:val="1"/>
      <w:numFmt w:val="decimal"/>
      <w:lvlText w:val="%4."/>
      <w:lvlJc w:val="left"/>
      <w:pPr>
        <w:ind w:left="2880" w:hanging="360"/>
      </w:pPr>
    </w:lvl>
    <w:lvl w:ilvl="4" w:tplc="1FBE329C">
      <w:start w:val="1"/>
      <w:numFmt w:val="lowerLetter"/>
      <w:lvlText w:val="%5."/>
      <w:lvlJc w:val="left"/>
      <w:pPr>
        <w:ind w:left="3600" w:hanging="360"/>
      </w:pPr>
    </w:lvl>
    <w:lvl w:ilvl="5" w:tplc="E6749B38">
      <w:start w:val="1"/>
      <w:numFmt w:val="lowerRoman"/>
      <w:lvlText w:val="%6."/>
      <w:lvlJc w:val="right"/>
      <w:pPr>
        <w:ind w:left="4320" w:hanging="180"/>
      </w:pPr>
    </w:lvl>
    <w:lvl w:ilvl="6" w:tplc="2370F768">
      <w:start w:val="1"/>
      <w:numFmt w:val="decimal"/>
      <w:lvlText w:val="%7."/>
      <w:lvlJc w:val="left"/>
      <w:pPr>
        <w:ind w:left="5040" w:hanging="360"/>
      </w:pPr>
    </w:lvl>
    <w:lvl w:ilvl="7" w:tplc="D93A427C">
      <w:start w:val="1"/>
      <w:numFmt w:val="lowerLetter"/>
      <w:lvlText w:val="%8."/>
      <w:lvlJc w:val="left"/>
      <w:pPr>
        <w:ind w:left="5760" w:hanging="360"/>
      </w:pPr>
    </w:lvl>
    <w:lvl w:ilvl="8" w:tplc="E014DD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242A7"/>
    <w:multiLevelType w:val="hybridMultilevel"/>
    <w:tmpl w:val="66068B66"/>
    <w:lvl w:ilvl="0" w:tplc="29BC7A02">
      <w:start w:val="1"/>
      <w:numFmt w:val="decimal"/>
      <w:lvlText w:val="%1."/>
      <w:lvlJc w:val="left"/>
      <w:pPr>
        <w:ind w:left="709" w:hanging="360"/>
      </w:pPr>
    </w:lvl>
    <w:lvl w:ilvl="1" w:tplc="17C2DBEC">
      <w:start w:val="1"/>
      <w:numFmt w:val="lowerLetter"/>
      <w:lvlText w:val="%2."/>
      <w:lvlJc w:val="left"/>
      <w:pPr>
        <w:ind w:left="1429" w:hanging="360"/>
      </w:pPr>
    </w:lvl>
    <w:lvl w:ilvl="2" w:tplc="956615B8">
      <w:start w:val="1"/>
      <w:numFmt w:val="lowerRoman"/>
      <w:lvlText w:val="%3."/>
      <w:lvlJc w:val="right"/>
      <w:pPr>
        <w:ind w:left="2149" w:hanging="180"/>
      </w:pPr>
    </w:lvl>
    <w:lvl w:ilvl="3" w:tplc="8E3E64C8">
      <w:start w:val="1"/>
      <w:numFmt w:val="decimal"/>
      <w:lvlText w:val="%4."/>
      <w:lvlJc w:val="left"/>
      <w:pPr>
        <w:ind w:left="2869" w:hanging="360"/>
      </w:pPr>
    </w:lvl>
    <w:lvl w:ilvl="4" w:tplc="A9862D1A">
      <w:start w:val="1"/>
      <w:numFmt w:val="lowerLetter"/>
      <w:lvlText w:val="%5."/>
      <w:lvlJc w:val="left"/>
      <w:pPr>
        <w:ind w:left="3589" w:hanging="360"/>
      </w:pPr>
    </w:lvl>
    <w:lvl w:ilvl="5" w:tplc="B060DB86">
      <w:start w:val="1"/>
      <w:numFmt w:val="lowerRoman"/>
      <w:lvlText w:val="%6."/>
      <w:lvlJc w:val="right"/>
      <w:pPr>
        <w:ind w:left="4309" w:hanging="180"/>
      </w:pPr>
    </w:lvl>
    <w:lvl w:ilvl="6" w:tplc="3682952A">
      <w:start w:val="1"/>
      <w:numFmt w:val="decimal"/>
      <w:lvlText w:val="%7."/>
      <w:lvlJc w:val="left"/>
      <w:pPr>
        <w:ind w:left="5029" w:hanging="360"/>
      </w:pPr>
    </w:lvl>
    <w:lvl w:ilvl="7" w:tplc="F516D5EA">
      <w:start w:val="1"/>
      <w:numFmt w:val="lowerLetter"/>
      <w:lvlText w:val="%8."/>
      <w:lvlJc w:val="left"/>
      <w:pPr>
        <w:ind w:left="5749" w:hanging="360"/>
      </w:pPr>
    </w:lvl>
    <w:lvl w:ilvl="8" w:tplc="32FC6D80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2793D9A"/>
    <w:multiLevelType w:val="hybridMultilevel"/>
    <w:tmpl w:val="FCAE2232"/>
    <w:lvl w:ilvl="0" w:tplc="22768CB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4BEFD3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12A75F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CF2014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8E882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4B861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14AB69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994B3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E497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7453DD7"/>
    <w:multiLevelType w:val="hybridMultilevel"/>
    <w:tmpl w:val="23586E04"/>
    <w:lvl w:ilvl="0" w:tplc="2FC8765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94A358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19E401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3B067A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136DAF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608AFC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CD0DA6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706542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7486E1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99859EB"/>
    <w:multiLevelType w:val="hybridMultilevel"/>
    <w:tmpl w:val="B36E2DCA"/>
    <w:lvl w:ilvl="0" w:tplc="2E6A1AD8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5A40B670">
      <w:numFmt w:val="bullet"/>
      <w:lvlText w:val="•"/>
      <w:lvlJc w:val="left"/>
      <w:pPr>
        <w:ind w:left="1995" w:hanging="360"/>
      </w:pPr>
    </w:lvl>
    <w:lvl w:ilvl="2" w:tplc="7228D44A">
      <w:numFmt w:val="bullet"/>
      <w:lvlText w:val="•"/>
      <w:lvlJc w:val="left"/>
      <w:pPr>
        <w:ind w:left="2830" w:hanging="360"/>
      </w:pPr>
    </w:lvl>
    <w:lvl w:ilvl="3" w:tplc="A3D49AB4">
      <w:numFmt w:val="bullet"/>
      <w:lvlText w:val="•"/>
      <w:lvlJc w:val="left"/>
      <w:pPr>
        <w:ind w:left="3665" w:hanging="360"/>
      </w:pPr>
    </w:lvl>
    <w:lvl w:ilvl="4" w:tplc="7C124EDA">
      <w:numFmt w:val="bullet"/>
      <w:lvlText w:val="•"/>
      <w:lvlJc w:val="left"/>
      <w:pPr>
        <w:ind w:left="4500" w:hanging="360"/>
      </w:pPr>
    </w:lvl>
    <w:lvl w:ilvl="5" w:tplc="5F1896D6">
      <w:numFmt w:val="bullet"/>
      <w:lvlText w:val="•"/>
      <w:lvlJc w:val="left"/>
      <w:pPr>
        <w:ind w:left="5335" w:hanging="360"/>
      </w:pPr>
    </w:lvl>
    <w:lvl w:ilvl="6" w:tplc="FCB2034E">
      <w:numFmt w:val="bullet"/>
      <w:lvlText w:val="•"/>
      <w:lvlJc w:val="left"/>
      <w:pPr>
        <w:ind w:left="6170" w:hanging="360"/>
      </w:pPr>
    </w:lvl>
    <w:lvl w:ilvl="7" w:tplc="31DAEE5A">
      <w:numFmt w:val="bullet"/>
      <w:lvlText w:val="•"/>
      <w:lvlJc w:val="left"/>
      <w:pPr>
        <w:ind w:left="7005" w:hanging="360"/>
      </w:pPr>
    </w:lvl>
    <w:lvl w:ilvl="8" w:tplc="ACB068BE">
      <w:numFmt w:val="bullet"/>
      <w:lvlText w:val="•"/>
      <w:lvlJc w:val="left"/>
      <w:pPr>
        <w:ind w:left="7840" w:hanging="360"/>
      </w:pPr>
    </w:lvl>
  </w:abstractNum>
  <w:abstractNum w:abstractNumId="9" w15:restartNumberingAfterBreak="0">
    <w:nsid w:val="5F516AD8"/>
    <w:multiLevelType w:val="hybridMultilevel"/>
    <w:tmpl w:val="828E1284"/>
    <w:lvl w:ilvl="0" w:tplc="A48049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B24DC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4F2A9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E4473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ACE77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BC6583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AB408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814BA7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583A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9DA6BC2"/>
    <w:multiLevelType w:val="hybridMultilevel"/>
    <w:tmpl w:val="A4B429F8"/>
    <w:lvl w:ilvl="0" w:tplc="766A269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6382E0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89647B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9AC23A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D78CBB0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366119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DA161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99CC83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BBC3E4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81738F"/>
    <w:multiLevelType w:val="hybridMultilevel"/>
    <w:tmpl w:val="1B1A144A"/>
    <w:lvl w:ilvl="0" w:tplc="C41040B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6C2E21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3F4F5D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4063A6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A5C35E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938CFD9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6F4E50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25AB16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2D66CA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02"/>
    <w:rsid w:val="00353DBC"/>
    <w:rsid w:val="00465631"/>
    <w:rsid w:val="004F1CCE"/>
    <w:rsid w:val="00630556"/>
    <w:rsid w:val="006A2E97"/>
    <w:rsid w:val="00A449DF"/>
    <w:rsid w:val="00A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BF54"/>
  <w15:docId w15:val="{7C5EFD56-4238-45BA-8209-9C979A05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 w:themeColor="accent1" w:themeShade="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a4">
    <w:name w:val="Заголовок Знак"/>
    <w:basedOn w:val="a0"/>
    <w:link w:val="a3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6">
    <w:name w:val="Subtitle"/>
    <w:basedOn w:val="a"/>
    <w:next w:val="a"/>
    <w:link w:val="a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basedOn w:val="a0"/>
    <w:link w:val="a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af5"/>
    <w:semiHidden/>
    <w:unhideWhenUsed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link w:val="af9"/>
    <w:uiPriority w:val="1"/>
    <w:qFormat/>
    <w:rPr>
      <w:sz w:val="24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sz w:val="24"/>
    </w:rPr>
  </w:style>
  <w:style w:type="character" w:customStyle="1" w:styleId="ft">
    <w:name w:val="ft"/>
  </w:style>
  <w:style w:type="character" w:customStyle="1" w:styleId="apple-converted-space">
    <w:name w:val="apple-converted-space"/>
  </w:style>
  <w:style w:type="character" w:styleId="afa">
    <w:name w:val="Strong"/>
    <w:uiPriority w:val="22"/>
    <w:qFormat/>
    <w:rPr>
      <w:b/>
      <w:bCs/>
    </w:rPr>
  </w:style>
  <w:style w:type="character" w:styleId="afb">
    <w:name w:val="Hyperlink"/>
    <w:unhideWhenUsed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Колонтитулы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styleId="aff2">
    <w:name w:val="header"/>
    <w:basedOn w:val="a"/>
    <w:link w:val="af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">
    <w:name w:val="StGen1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</w:rPr>
    <w:tblPr>
      <w:tblStyleRowBandSize w:val="1"/>
      <w:tblStyleColBandSize w:val="1"/>
    </w:tblPr>
  </w:style>
  <w:style w:type="table" w:customStyle="1" w:styleId="StGen2">
    <w:name w:val="StGen2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</w:rPr>
    <w:tblPr>
      <w:tblStyleRowBandSize w:val="1"/>
      <w:tblStyleColBandSize w:val="1"/>
    </w:tblPr>
  </w:style>
  <w:style w:type="table" w:customStyle="1" w:styleId="13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m@apmins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dlplInzwQ4Ey6MJgE9MBXPgFA==">CgMxLjAyCGguZ2pkZ3hzOAByITFRNDUtY3FyejJrN3hPaXhxSGp3V01JX3NZQlpIS3pzbg==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Акифьева Виктория Сергеевна</dc:creator>
  <cp:lastModifiedBy>Абазовская Татьяна Павловна</cp:lastModifiedBy>
  <cp:revision>5</cp:revision>
  <dcterms:created xsi:type="dcterms:W3CDTF">2025-02-19T03:47:00Z</dcterms:created>
  <dcterms:modified xsi:type="dcterms:W3CDTF">2025-02-19T04:05:00Z</dcterms:modified>
</cp:coreProperties>
</file>