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heading=h.1fob9te"/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приказу департамента молодежной политики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 № _____-НПА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«УТВЕРЖДЕНА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приказом департамента молодежной политики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09.01.2025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1/53-НПА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1057" w:right="-31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3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СИСТЕМА КРИТЕРИЕВ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3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оценки эффективности деятельности орга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highlight w:val="red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highlight w:val="red"/>
        </w:rPr>
      </w:r>
      <w:r>
        <w:rPr>
          <w:rFonts w:ascii="Times New Roman" w:hAnsi="Times New Roman" w:eastAsia="Times New Roman" w:cs="Times New Roman"/>
          <w:highlight w:val="red"/>
        </w:rPr>
      </w:r>
    </w:p>
    <w:tbl>
      <w:tblPr>
        <w:tblStyle w:val="954"/>
        <w:tblW w:w="14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615"/>
        <w:gridCol w:w="3182"/>
        <w:gridCol w:w="3628"/>
        <w:gridCol w:w="1695"/>
        <w:tblGridChange w:id="0">
          <w:tblGrid>
            <w:gridCol w:w="2415"/>
            <w:gridCol w:w="3615"/>
            <w:gridCol w:w="3195"/>
            <w:gridCol w:w="3615"/>
            <w:gridCol w:w="1695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Индикаторы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Необходимая информация для оценки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Методика расчета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Максимальный балл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5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Критерий 1. Мероприятия (включая мероприятия, проводимые в рамках государственных программ Новосибирской области)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1.1. Участие в мероприятиях международного, всероссийского и межрегионального уровня в сфере молодёжной политики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мероприятий, проводимых на территории других регионов РФ или на территории других стран, с очным участием молодых людей или специалистов по работе с молодёжью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Кроме участия в мероприятиях форумной кампании – они учитываются в п. 1.4, в играх КВН – учитываются в п. 5.3, в фестивале «Таврида АРТ» - п. 5.4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уровень, даты проведения, список участников и документ, подтверждающий участие (например, сертификат, диплом, приказ и т.д.)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Международный уровень</w:t>
              <w:br/>
              <w:t xml:space="preserve">За каждое мероприятие с очным участием начисляется 3 балла, всего не более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Всероссийский уровень</w:t>
              <w:br/>
              <w:t xml:space="preserve">За каждое мероприятие с очным участием начисляется 2 балла, всего не более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Межрегиональный уровень</w:t>
              <w:br/>
              <w:t xml:space="preserve">За каждое мероприятие с очным участием начисляется 1 балл, всего не более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побед на конкурсных мероприятиях, проводимых на территории других регионов РФ или на территории других стран, с очным участием молодых людей или специалистов по работе с молодёжью</w:t>
              <w:br/>
              <w:br/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Кроме побед в рамках конкурса проектов на всероссийских и окружных форумах – этот показатель учитывается в п. 2.1.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уровень, даты проведения, список победителей и документ, подтверждающий победу (например, диплом, грамоту и т.д.)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Международный уровень</w:t>
              <w:br/>
              <w:t xml:space="preserve">За каждую победу с очным участием начисляется 3 балла, всего не более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Всероссийский уровень</w:t>
              <w:br/>
              <w:t xml:space="preserve">За каждую победу с очным участием начисляется 2 балла, всего не более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Межрегиональный уровень</w:t>
              <w:br/>
              <w:t xml:space="preserve">За каждую победу с очным участием начисляется 1 балл, всего не более 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побед в конкурсных мероприятиях, проводимых заочно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уровень, даты проведения, список победителей и документ, подтверждающий победу (например, диплом, грамоту, приказ и т.д.)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Международный уровень</w:t>
              <w:br/>
              <w:t xml:space="preserve">За каждую победу начисляется 3 балла, всего не более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Всероссийский уровень</w:t>
              <w:br/>
              <w:t xml:space="preserve">За каждую победу начисляется 2 балла, всего не более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Межрегиональный уровень</w:t>
              <w:br/>
              <w:t xml:space="preserve">За каждую победу начисляется 1 балла, всего не более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0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1.1: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Borders>
              <w:top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1.2. Участие в мероприятиях регионального уровня, проводимых Департаментом молодёжной политики Новосибирской области или ГБУ НСО «АПМИ»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областных и межрайонных мероприятий с очным участием молодых людей и специалистов по работе с молодёжью</w:t>
              <w:br/>
              <w:br/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Участие в мероприятиях некоторых направлений работы с молодёжью учитывается отдельно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даты проведения, список участников и ссылка на публикации в социальных сетях, подтверждающие очное участие молодых людей и специалистов по работе с молодёжью в мероприятии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мероприятие с очным участием начисляется 3 балла, всего не более 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областных и межрайонных мероприятий, в которых приняли участие в качестве организаторов (соорганизаторов)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даты проведения, положение или иной документ, подтверждающий участие в организации данного мероприятия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мероприятие начисляется 6 баллов, всего не более 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1.2: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1.3. Организация и проведение мероприятий локального уровня в сфере молодёжной политики (проводимых органом и/или учреждением по делам молодёжи)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реализованных районных, городских, поселковых мероприятий и мероприятий по месту жительства в сфере молодёжной политики, организатором которых выступает орган и/или учреждение по делам молодёжи, с количеством участников не менее 15 человек.</w:t>
              <w:br/>
              <w:br/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За исключением муниципальных молодёжных форумов – учитываются в п. 1.4; всероссийских и региональных волонтерских акций на местном уровне – п.5.2; игр КВН – п. 5.3; акции «Мы – граждане России» - п. 5.10.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место и даты проведения, уровень мероприятия. Указать количество молодых людей, принимавших участие в мероприятии. Указать ссылку на публикацию в социальных сетях о проведенном мероприятии.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для МР/ГО (за исключением г. Новосибирска):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мероприятий: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 По месту жительства:</w:t>
              <w:br/>
              <w:t xml:space="preserve">до 10 - 10 баллов;</w:t>
              <w:br/>
              <w:t xml:space="preserve">от 11 до 20 - 15 баллов;</w:t>
              <w:br/>
              <w:t xml:space="preserve">от 21 до 30 - 20 баллов;</w:t>
              <w:br/>
              <w:t xml:space="preserve">от 31 до 50 - 30 баллов;</w:t>
              <w:br/>
              <w:t xml:space="preserve">от 51 до 100 - 45 баллов;</w:t>
              <w:br/>
              <w:t xml:space="preserve">101 и более - 55 баллов;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- Городских/поселковых:</w:t>
              <w:br/>
              <w:t xml:space="preserve">до 10 - 15 баллов;</w:t>
              <w:br/>
              <w:t xml:space="preserve">от 11 до 20 - 20 баллов;</w:t>
              <w:br/>
              <w:t xml:space="preserve">от 21 до 30 - 30 баллов;</w:t>
              <w:br/>
              <w:t xml:space="preserve">от 31 до 50 - 40 баллов;</w:t>
              <w:br/>
              <w:t xml:space="preserve">от 51 до 100 - 50 баллов;</w:t>
              <w:br/>
              <w:t xml:space="preserve">101 и более - 60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- Районных: </w:t>
              <w:br/>
              <w:t xml:space="preserve">до 5 - 20 баллов;</w:t>
              <w:br/>
              <w:t xml:space="preserve">от 6 до 15 - 40 баллов;</w:t>
              <w:br/>
              <w:t xml:space="preserve">от 16 до 25 - 60 баллов;</w:t>
              <w:br/>
              <w:t xml:space="preserve">от 26 - 80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для г. Новосибирска: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 По месту жительства:</w:t>
              <w:br/>
              <w:t xml:space="preserve">до 10 - 20 баллов;</w:t>
              <w:br/>
              <w:t xml:space="preserve">от 11 до 20 - 30 баллов;</w:t>
              <w:br/>
              <w:t xml:space="preserve">от 21 до 30 - 40 баллов;</w:t>
              <w:br/>
              <w:t xml:space="preserve">от 31 до 50 - 50 баллов;</w:t>
              <w:br/>
              <w:t xml:space="preserve">от 51 до 100 - 60 баллов;</w:t>
              <w:br/>
              <w:t xml:space="preserve">101 и более - 70 баллов;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 Городских:</w:t>
              <w:br/>
              <w:t xml:space="preserve">до 3 - 40 баллов;</w:t>
              <w:br/>
              <w:t xml:space="preserve">от 4 до 5 - 50 баллов;</w:t>
              <w:br/>
              <w:t xml:space="preserve">от 6 до 7 - 60 баллов;</w:t>
              <w:br/>
              <w:t xml:space="preserve">от 8 до 10 - 70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- Районных:</w:t>
              <w:br/>
              <w:t xml:space="preserve">до 5 - 25 баллов;</w:t>
              <w:br/>
              <w:t xml:space="preserve">от 6 до 10 - 35 баллов;</w:t>
              <w:br/>
              <w:t xml:space="preserve">от 11 до 15 - 45 баллов;</w:t>
              <w:br/>
              <w:t xml:space="preserve">от 16 - 55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межрайонных мероприятий, в которых приняли участие делегации (от 4 человек) молодых людей не менее, чем из 3 муниципальных районов и/или городских округов, организатором которых выступает орган и/или учреждение по делам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наименование каждого мероприятия, даты и место проведения, а также док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умент, подтверждающий участие в организации данного мероприятия (например, положение, приказ и т.д.). Перечислить муниципальные районы/городские округа, которые принимали участие в мероприятии. Указать количество участников от каждого перечисленного района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организацию и проведение одного межрайонного мероприятия начисляется 5 баллов, всего не более 15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мероприятий на территории других муниципальных образований Новосибирской области, в которых приняла участие делегация молодых людей составом не менее 4 человек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наименование каждого мероприятия, даты и место проведения. Предоставить список молодых людей, принявших участие в мероприятии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мероприятие, в котором приняла участие делегация молодых людей составом не менее 4 человек, начисляется 2 балла,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Количество зарегистрированных мероприятий на портале ФГАИС «Молодёжь России», организатором которых выступает орган и/или учреждение по делам молодёжи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Оценивает региональный координатор системы ФГАИС «Молодёжь России».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Borders>
              <w:top w:val="single" w:color="000000" w:sz="5" w:space="0"/>
              <w:left w:val="none" w:color="000000" w:sz="0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Считается процент от запланированных к публикации мероприятий согласно Единому плану мероприятий</w:t>
            </w:r>
            <w:r>
              <w:rPr>
                <w:rFonts w:ascii="Times New Roman" w:hAnsi="Times New Roman" w:eastAsia="Times New Roman" w:cs="Times New Roman"/>
                <w:i/>
                <w:highlight w:val="white"/>
                <w:rtl w:val="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Количество мероприятий: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br/>
              <w:t xml:space="preserve"> до 40 % - 2 балла;</w:t>
              <w:br/>
              <w:t xml:space="preserve"> до 60 % - 4 балла;</w:t>
              <w:br/>
              <w:t xml:space="preserve"> до 80% - 6 баллов;</w:t>
              <w:br/>
              <w:t xml:space="preserve"> 100 % - 10 баллов.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5" w:space="0"/>
              <w:left w:val="none" w:color="000000" w:sz="0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1.3: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1.4. Участие в форумной кампании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молодых людей, принявших участие в международных молодёжных форумах: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-Международный молодёжный форум «Евразия Global»;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</w:t>
            </w:r>
            <w:hyperlink r:id="rId10" w:tooltip="https://events.myrosmol.ru/forums/mezhdunarodnyy-forum-myvmeste-2024/" w:history="1">
              <w:r>
                <w:rPr>
                  <w:rFonts w:ascii="Times New Roman" w:hAnsi="Times New Roman" w:eastAsia="Times New Roman" w:cs="Times New Roman"/>
                  <w:rtl w:val="0"/>
                </w:rPr>
                <w:t xml:space="preserve">Международный форум гражданского участия #МЫВМЕСТЕ</w:t>
              </w:r>
            </w:hyperlink>
            <w:r>
              <w:rPr>
                <w:rFonts w:ascii="Times New Roman" w:hAnsi="Times New Roman" w:eastAsia="Times New Roman" w:cs="Times New Roman"/>
                <w:rtl w:val="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координатором отправки делегаций Новосибирской области на федеральные и всероссийские молодёжные форумы на основе выгрузки списков из базы ФГАИС «Молодёжь России».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каждого молодого человека, подавшего заявку на участие, начисляется 1 балл, но всего не более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очное участие в международных форумах начисляется 3 балла за каждого участника, но всего не более 9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молодых людей, принявших участие в федеральных и  всероссийских молодёжных форумах: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- Форум молодых деятелей культуры и искусств «Таврида»;</w:t>
              <w:br/>
              <w:t xml:space="preserve">- Всероссийский молодёжный форум «Территория смыслов»;</w:t>
              <w:br/>
              <w:t xml:space="preserve">- Всероссийский молодёжный образовательный форум «Территория инициативной молодёжи «Бирюса»;</w:t>
              <w:br/>
              <w:t xml:space="preserve">-Всероссийский молодёжный форум «ШУМ»;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-Молодёжный историко-культурный форум «Истоки»;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молодёжный экологический форум «Экосистема.Заповедный край»;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-Северо-Кавказский молодёжный форум «Машук»;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молодёжный образовательный форум «ОстроVа»;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 Международный молодёжный форум «Байкал»;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молодёжный форум «Амур»;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форум рабочей молодёжи;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 форум молодых предпринимателей «Амур»;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форум «Ростов»;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-Всероссийский форум «Область будущего»;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Всероссийский форум молодых государственных и муниципальных служащих «ГосСтарт»;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-Форум молодых ученых «Полюс»;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-Форум социального призвания;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молодёжный форум «Шерегеш»;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форум «Арктика. Лёд тронулся»;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патриотический форум;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-Форум (слет) казачьей молодёжи;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форум Росмолодёжь.Гранты «Пик Возможностей»;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молодёжный форум Первых «Iволга»;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-Форум социального призвания «Добрино»;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молодежный образовательный форум «Юг Молодой»;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-VIII Всероссийского форума «серебряных» добровольцев;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/>
            <w:bookmarkStart w:id="1" w:name="_heading=h.gjdgxs"/>
            <w:r/>
            <w:bookmarkEnd w:id="1"/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-Форум молодёжи коренных народов «Российский Север»;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-Всероссийский промышленный форум «Инженеры будущего».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координатором отправки делегаций Новосибирской области на федеральные и всероссийские молодёжные форумы на основе выгрузки списков из базы ФГАИС «Молодёжь России».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каждого молодого человека, подавшего заявку на участие, начисляется 2 балла, но всего не более 20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очное участие в федеральных и всероссийских молодежных форумах начисляется 3 балла за каждого участника, но всего не более 15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молодых людей, принявших очное участие в окружных молодёжных форумах: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-Форум молодёжи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Уральского федерального округа «УТРО»;</w:t>
              <w:br/>
              <w:t xml:space="preserve">-Окружной форум Приволжского федерального округа «Метеор»;</w:t>
              <w:br/>
              <w:t xml:space="preserve">-Окружной молодёжный форум Сибирского федерального округа «Алтай. Территория развития»;</w:t>
              <w:br/>
              <w:t xml:space="preserve">-Молодёжный образовательный форум Южного федерального округа «БерегА»;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-Окружной форум «На волне»;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-Окружной форум «Ладога»;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-Окружной форум Центрального федерального округа «МедиаДвиж»;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 Молодёжный образовательный форум «Каспий»;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 Окружной добровольческий форум #МЫВМЕСТЕ СФО и ДФО;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-Окружной патриотический форум УФО, СФО и ДФО.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координатором отправки делегаций Новосибирской области на окружные молодёжные форумы на основе выгрузки списков из базы ФГАИС «Молодёжь России».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каждого молодого человека, подавшего заявку на участие на окружной форум, начисляется 1 балл, но всего не более 7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очное участие в окружных молодежных форумах начисляется 2 балла за каждого участника,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Количество молодых людей, принявших участие в форуме молодёжи Новосибирской области «ПРОрегион»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Показатель оценивается руководителем службы по работе с участниками форума на основе выгрузки списков из базы ФГАИС «Молодёжь России».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количество поданных заявок начисляется: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br/>
              <w:t xml:space="preserve">до 3 - 1 балл;</w:t>
              <w:br/>
              <w:t xml:space="preserve">от 4 до 6 - 2 балла;</w:t>
              <w:br/>
              <w:t xml:space="preserve">от 7 до 10 - 3 балла;</w:t>
              <w:br/>
              <w:t xml:space="preserve">от 11 до 15 - 4 балла;</w:t>
              <w:br/>
              <w:t xml:space="preserve">выше 15 - 5 баллов.</w:t>
              <w:br/>
              <w:br/>
              <w:t xml:space="preserve">За очное участие в форуме начисляется 2 балла за каждого участника, но всего не более 10 баллов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районного/городского молодёжного форума, организатором которого выступает орган и/или учреждение по делам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наименование мероприятия (форума) с указанием ссылки на информационный источник; ука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зать количество участников форума. Прикрепить информационную справку о проведении форума согласно рекомендациям курса Корпоративного университета молодёжной работы Новосибирской области для организаторов муниципальных форумов молодёжи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муниципального форума начисляется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Если форум проводился с использованием методических рекомендаций из курса для организаторов муниципальных форумов молодёжи Новосибирской области, дополнительно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30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1.4: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1.5. Участие в акциях, проводимых под эгидой Росмолодёжи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мероприятий, проводимых Росмолодёжью, в которых приняли участие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Выбрать из закрытого списка мероприятий. Прикрепить ссылку на публикации в социальных сетях об участии в акциях, проводимых под эгидой ФАДМ «Росмолодёжь»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в мероприятиях начисляется: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1-3 мероприятиях – 3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4-6 мероприятиях – 6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более, чем в 7 мероприятиях – 9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30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1.5: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5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Критерий 2. Поддержка молодёжных инициатив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2.1. Участие в конкурсах проектов на предоставление грантов и субсидий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720" w:firstLine="0"/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1 сезоне, Микрогрантах и 2 сезоне Всероссийского конкурса молодёжных проектов для физических лиц, организованном  Федеральным агентством по делам молодёжи (заочные конкурсы)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куратором Всероссийских конкурсов молодёжных проектов в регионе на основе информации, полученной от организаторов Всероссийских конкурсов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факт участия молодёжи МР/ГО в ВКМП от ФАДМ «Росмолодёжь» начисляется 1 балл, но всего не более 30 баллов</w:t>
            </w:r>
            <w:r>
              <w:rPr>
                <w:rFonts w:ascii="Times New Roman" w:hAnsi="Times New Roman" w:eastAsia="Times New Roman" w:cs="Times New Roman"/>
                <w:b/>
                <w:i/>
              </w:rPr>
            </w:r>
            <w:r>
              <w:rPr>
                <w:rFonts w:ascii="Times New Roman" w:hAnsi="Times New Roman" w:eastAsia="Times New Roman" w:cs="Times New Roman"/>
                <w:b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получивший поддержку проект начисляется 3 балла, но всего не более 60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во Всероссийском конкурсе молодёжных проектов, организуемом Федеральным агентством по делам молодёжи в рамках форума «ПРОрегион», проводимом ГБУ НСО АПМИ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региональным куратором Всероссийских конкурсов молодёжных проектов на основе информации, полученной от организаторов ВКМП Росмолодёжь и организаторов грантовой площадки на форуме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факт подачи заявки от  молодёжи МР/ГО в ВКМП от ФАДМ «Росмолодёжь» начисляется 2 балл, но всего не более 40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в очном этапе конкурса (презентация проектов экспертам на площадке форума) начисляется 4 балл, но всего не более 40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во Всероссийском конкурсе молодежных проектов, организуемом Федеральным агентством по делам молодежи в рамках форума «Территория успеха», проводимом ГБУ НСО АПМИ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региональным куратором Всероссийских конкурсов молодёжных проектов на основе информации, полученной от организаторов ВКМП Росмолодёжь и организаторов грантовой площадки на форуме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факт подачи заявки от  молодёжи МР/ГО в ВКМП от ФАДМ «Росмолодёжь» начисляется 2 балл, но всего не более 40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28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в очном этапе конкурса (презентация проектов экспертам на площадке форума) начисляется 4 балл, но всего не более 40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во Всероссийском конкурсе молодёжных проектов, организуемом Федеральным агентством по делам молодёжи в рамках форумной кампании (очные площадки)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региональным куратором Всероссийских конкурсов молодёжных проектов на основе информации, полученной от организаторов ВКМП Росмолодёжь и организаторов грантовых площадок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проект, получивший поддержку,  начисляется 6 баллов, всего не более 60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факт подачи заявки от  молодёжи МР/ГО в ВКПМ от ФАДМ Росмолодёжь начисляется 1 балл, но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в очном этапе конкурса (презентация проектов экспертам на площадке форума) начисляется 2 балл, всего не более 20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проект сферы молодёжной политики, получивший поддержку,  начисляется 3 баллов, всего не более 30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2.1: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2.2.  Проведение муниципального конкурса проектов на предоставление грантов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муниципального конкурса проектов, номинации которого предполагают участие с молодёжными проектами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наименование конкурса, нормативный акт о его проведении в 2024 году и выделяемое финансирование. Указать номинации конкурса. Указать количество и наименование молодёжных проектов, поданных для участия в конкурсе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грантового конкурса начисляется 15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поддержки в конкурсе молодёжных проектов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2.2: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2.3. Внедрение инструментов и форм подготовки молодых людей к участию в конкурсах проектов на предоставление грантов и субсидий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муниципального координатора на территории, активно продвигающего грантовую активность на своей территории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ФИО муниципального координатора (МК). Приложить информационную справку с указанием мероприятий, проводимых МК.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руководителем Проектного офиса НСО на основе предоставленной информации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наличия МК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мероприятия начисляется 1 балл, но всего не более 15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активное взаимодействие с Проектным офисом НСО дополнительно начисляется до 12 баллов по следующим критериям: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 Регулярность в предоставлении отчетов: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балл: Отчетность отсутствует.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 балла: Все отчеты подаются своевременно и в полном объеме.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2. Инициативность в реализации образовательных мероприятий: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баллов: Нет предложений по новым проектам.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 балл: Регулярное представление инновационных и перспективных идей (не менее 1-го мероприятия в месяц).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3. Обратная связь на запросы Проектного офиса: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баллов: Игнорирование запросов и вопросов.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 балл: Быстрая и конструктивная обратная связь на все запросы.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4. Участие в обучающих мероприятиях вне Проектного офиса: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баллов: Участие в семинарах и тренингах минимально или отсутствует.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 балл: Активное участие и обмен опытом на мероприятиях.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 Мониторинг реализации проектов на своей территории (работа с победителями):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баллов: Нет мониторинга, проекты не отслеживаются.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 балла: Регулярный анализ и оценка проделанной работы по проектам.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6. Вовлеченность молодежи (оценивается на основе регулярно предоставляемых МК списков и фотоотчетов в течение отчетного периода):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баллов: Участие молодежи минимально или отсутствует.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E5E7EB" w:sz="0" w:space="0"/>
                <w:left w:val="none" w:color="E5E7EB" w:sz="0" w:space="0"/>
                <w:bottom w:val="none" w:color="E5E7EB" w:sz="0" w:space="0"/>
                <w:right w:val="none" w:color="E5E7EB" w:sz="0" w:space="0"/>
                <w:between w:val="none" w:color="E5E7EB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 балла: Активное вовлечение молодежи и учет их мнений в проектах.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Проведение школ проектного управления, хакатонов, инкубаторов молодёжных проектов, акселерационных программ и иных форматов работы с инициативами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мероприятия (название, дата, место проведения). Указать количество принявших участие.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мероприятие начисляется 3 балла, всего не более 15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662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фактов поддержки инициатив участников указанных выше мероприятий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инициативы участников мероприятий, которые получили финансовую поддержку в конкурсе проектов на предоставление грантов и субсидий любого уровня (название проекта, конкурс проектов и сумму поддержки)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каждую инициативу участника мероприятий, получившую поддержку, начисляется 2 балла, но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662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специалистов/представителей активной молодёжи в региональной школе социального проектирования для муниципальных координаторов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Индикатор оценивается руководителем Проектного офиса Новосибирской области на основании данных, полученных при взаимодействии с участниками  региональной школы социального проектирования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каждого специалиста/представителя активной молодёжи начисляется 2 балла, но не более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каждого специалиста/представителя активной молодёжи, принявшего участие в региональной школе социального проектирования, в конкурсе грантов любого уровня начисляется 4 балла, но не более 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организацию мероприятий, направленных на трансляцию знаний участника региональной школы социального проектирования местному молодёжному сообществу начисляется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2.3: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477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5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Критерий 3. Институциональная база и инфраструктура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3.1. Наличие базовых условий для реализации молодёжной политики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муниципальной программы в сфере молодёжной политики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наименование программы, приложить нормативный акт о принятии программы и ссылку на актуальную программу на сайте администрации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отдельной программы начисляется 20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За наличие совмещенной программы начисляется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Предусмотрено финансирование на реализацию молодёжной политики в рамках муниципальных программ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1) Указать общее финансирование, выделяемое на мероприятия муниципальных программ в сфере молодёжной политики в течение отчётного года (в тыс. руб.)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2) Указать численность молодых людей в возрасте от 14 до 35 лет, проживающих на территори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и муниципального образования (в тыс. чел.)</w:t>
              <w:br/>
              <w:br/>
              <w:t xml:space="preserve">Если орган и/или учреждение по делам молодёжи является исполнителем мероприятий для молодёжи в рамках других муниципальных программ, необходимо указать все суммы с указанием соответствующих муниципальных программ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Расчёт производится организатором рейтинга на основе представленных данных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Расчёт критерия осуществляется следующи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м образом: общая сумма, выделяемая на реализацию молодёжной политики, делится на численность молодёжи, проживающей на территории муниципального образования. В результате получается средний показатель денежных средств, выделяемых на одного молодого человека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Расчёт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до 50 руб. на чел. – 5 баллов</w:t>
              <w:br/>
              <w:t xml:space="preserve">от 50 до 70 руб. на чел. – 10 баллов</w:t>
              <w:br/>
              <w:t xml:space="preserve">от 70 до 90 руб. на чел. – 15 баллов</w:t>
              <w:br/>
              <w:t xml:space="preserve">от 90 до 110 руб. на чел. – 20 баллов</w:t>
              <w:br/>
              <w:t xml:space="preserve">от 110 руб. и выше на чел. – 25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поименованного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органа по делам молодёжи в составе администрации муниципального района или городского округа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полное наименование органа или структурного подразделени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я администрации, ответственного за работу с молодёжью. Приложить положение об органе, в котором прописан функционал в сфере молодёжной политики. Указать штатное количество специалистов по делам молодёжи в органе или структурном подразделении администрации.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отдельного органа по делам моло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дёжи начисляется 10 баллов. За наличие совмещенного органа по делам молодёжи начисляется 3 балла.</w:t>
              <w:br/>
              <w:br/>
              <w:t xml:space="preserve">За количество специалистов в органе по делам молодёжи начисляется:</w:t>
              <w:br/>
              <w:t xml:space="preserve">1 специалист – 1 балл;</w:t>
              <w:br/>
              <w:t xml:space="preserve">от 2 до 3 специалистов – 3 балла;</w:t>
              <w:br/>
              <w:t xml:space="preserve">больше 3 специалистов – 6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специалистов по работе с молодёжью в сельских поселениях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количество сельских поселений на территории муниципального района. Указать число специалистов по работе с молодёжью в с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ельских поселениях. Приложить документ, подтверждающий наличие специалистов по работе с молодёжью в сельских поселениях (например, штатное расписание или положение об органе/учреждении, в котором прописан функционал специалиста в сфере молодёжной политики)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специалистов по работе с молодёжью в сельских поселениях начисляется: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в 90-100 % сельских поселений – 30 баллов;</w:t>
              <w:br/>
              <w:t xml:space="preserve">в 50-90 % – 20 баллов;</w:t>
              <w:br/>
              <w:t xml:space="preserve">в 20-50 % – 10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10-20% – 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совета по молодёжной политике при главе (заместителе главы) муниципального района или городского округа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наименование совета. Приложить нормативно-правовой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акт об учреждении совета. Приложить положение о совете. Приложить список участников совета с указанием возраста каждого участника. Указать количество заседаний и даты их проведения за отчетный период. Приложить протоколы решений совета по итогам заседаний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совета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регулярное проведение заседаний совета (не менее одного заседания в квартал) и ведение протоколов решений совета начисляется дополнительно 3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вхождение в состав совета молодёжи в количестве не менее 40% от общего числа членов совета начисляется дополнительно 3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партнёрских молодёжных некоммерческих организаций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название организации и ИНН. Приложить информационную справку о целях сотрудничества, формате взаимодействия, количестве совместно проведенных мероприятий или других достижений (при наличии)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каждую молодёжную некоммерческую организацию, при условии предоставления информационной справки, начисляется 2 балла,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3.1: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3.2. Наличие инфраструктуры для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муниципальных молодёжных центров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количество учреждений, полное наименование учреждений, количество сотрудников, реквизиты нормативного акта, которым каждое учреждение создано. Прикрепить ссылки на группы каждого учреждения Вконтакте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отдельного муниципального молодёжного центра начисляется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trike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совмещенного учреждения, ответственного за работу с молодёжью, начисляется 5 баллов</w:t>
            </w:r>
            <w:r>
              <w:rPr>
                <w:rFonts w:ascii="Times New Roman" w:hAnsi="Times New Roman" w:eastAsia="Times New Roman" w:cs="Times New Roman"/>
                <w:strike/>
              </w:rPr>
            </w:r>
            <w:r>
              <w:rPr>
                <w:rFonts w:ascii="Times New Roman" w:hAnsi="Times New Roman" w:eastAsia="Times New Roman" w:cs="Times New Roman"/>
                <w:strike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Наличие открытых пространств для молодёжи на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Указать название открытого пространства. Указать ссылку на группу открытого пространства в социальной сети ВКонтакте. Заполнить краткий отчёт о деятельности каждого пространства по заданной форме</w:t>
              <w:br/>
              <w:br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руководителем проекта «Открытые пространства» на основе представленной информации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открытого пространства для молодёжи начисляется 6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Если открыто более одного пространства, за каждое дополнительное начисляется 3 балла, но не более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площадок для занятий уличными видами спорта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количество площадок и их предназначение по видам спорта. Приложить фотографии каждой площадки. Перечислить мероприятия, проводимые на площадке в течение отчетного периода</w:t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функционирующих спортивных площадок начисляется: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 площадка – 5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2 до 3 площадок – 6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более 3 площадок – 8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на площадке от 10 мероприятий в год дополнительно начисляется 2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3.2: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3: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5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Критерий 4. Коммуникации</w:t>
            </w:r>
            <w:r>
              <w:rPr>
                <w:rFonts w:ascii="Times New Roman" w:hAnsi="Times New Roman" w:eastAsia="Times New Roman" w:cs="Times New Roman"/>
                <w:b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highlight w:val="yellow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4.1. Работа по продвижению мероприятий и возможностей для молодых людей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Работа в социальной сети ВКонтакте.</w:t>
              <w:br/>
              <w:br/>
              <w:t xml:space="preserve">Учитывается:</w:t>
              <w:br/>
              <w:t xml:space="preserve">- интерактивность и пр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ивлекательность группы (использование основных инструментов новых медиа: визуального, звукового, видео контента; статьи, опросы, наполнение основных разделов);</w:t>
              <w:br/>
              <w:t xml:space="preserve">- грамотность и оригинальность текстового контента;</w:t>
              <w:br/>
              <w:t xml:space="preserve">- обратная связь (работа с комментариями, ги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перссылки);</w:t>
              <w:br/>
              <w:t xml:space="preserve">- количество подписчиков (прирост);</w:t>
              <w:br/>
              <w:t xml:space="preserve">- количество публикаций за месяц;</w:t>
              <w:br/>
              <w:t xml:space="preserve">- качество публикаций – репосты (с подводкой и без), рерайтинг (адаптация начальной новости под свое сообщество), оригинальные материалы, адресность и целевая направленность.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ссылку на действующую группу ВКонтакте. Указать количество подписчиков группы. Указать количество публикаций за отчетный период с разбивкой по месяцам.</w:t>
              <w:br/>
              <w:br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специалистами отдела медийного сопровождения на основе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1.Иллюстрации и фото (качество, целевая направленность, соответствие теме) – до 5 баллов.</w:t>
              <w:br/>
              <w:br/>
              <w:t xml:space="preserve">2.Наполнение ленты: 2-3 поста в неделю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– до 5 баллов; 3-5 постов в неделю – до 7 баллов; ежедневное обновление – до 9 баллов. Учитывается количество перепостов – с подводками, без; рерайтинг (адаптация начальной новости под свое сообщество). Обратная связь – работа с комментариями, гиперссылки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.</w:t>
              <w:br/>
              <w:br/>
              <w:t xml:space="preserve">3.Качество текстов: наличие информационного повода, емкость изложения, адекватность, грамотность, адресность и целевая направленность – до 10 баллов.</w:t>
              <w:br/>
              <w:br/>
              <w:t xml:space="preserve">4.Использование ресурсов ВК: видео, аудио, статьи, опросы; интерактивность – до 10 баллов.</w:t>
              <w:br/>
              <w:br/>
              <w:t xml:space="preserve">5.Количест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во подписчиков (фактическое, прирост за период) – до 10 баллов.</w:t>
              <w:br/>
              <w:br/>
              <w:t xml:space="preserve">6. Участие группы в конкурсе молодёжных аккаунтов, подведомственных локальным органам по работе с молодёжью:</w:t>
              <w:br/>
              <w:t xml:space="preserve">1-3 место – 5 баллов,</w:t>
              <w:br/>
              <w:t xml:space="preserve">4-10 место – 3 балла,</w:t>
              <w:br/>
              <w:t xml:space="preserve">11-15 место – 1 балл,</w:t>
              <w:br/>
              <w:t xml:space="preserve">ниже – 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Использование в группе обновленного брендбука</w:t>
              <w:br/>
              <w:br/>
              <w:t xml:space="preserve">Учитывается: </w:t>
              <w:br/>
              <w:t xml:space="preserve">- использование визуальной составляющей в новом стиле в шапке профиля, виджетов;</w:t>
              <w:br/>
              <w:t xml:space="preserve">- использование шаблонов с визуальной составляющей в постах.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специалистами отдела медийного сопровождения на основе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0 баллов – не используется совсем;</w:t>
              <w:br/>
              <w:t xml:space="preserve">3 балла – есть стиль в шапке профиля, виджеты; </w:t>
              <w:br/>
              <w:t xml:space="preserve">6 баллов – стиль есть в шаб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лонах с визуальной составляющей в постах;</w:t>
              <w:br/>
              <w:t xml:space="preserve">10 баллов – визуальная составляющая используется в полной мере (шапка профиля, виджет, шаблоны в постах) и всё это корректно и качественно исполнено (нет пикселей, нет водяных знаков, используется шрифт брендбука).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Публикация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материалов о мероприятиях и проектах управления молодёжной политики министерства образования Новосибирской области и подведомственного учреждения</w:t>
              <w:br/>
              <w:br/>
              <w:t xml:space="preserve">Учитывается публикация материалов на разных медиаресурсах: социальные сети, сайты, районные печатные издания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ссылки на публикации в сети Интернет – социальные сети, сайты. По материалам, размещенным в печатных СМИ, предоставить скан-версии или файлы в pdf-формате.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публикации на каждом носителе до 5 баллов, всего не более 15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Публикация материалов о массовых (от 50 человек) молодёжных мероприятиях и проектах муниципалитета в сервисе «Навигатор возможностей» на портале Госуслуг.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5" w:space="0"/>
              <w:left w:val="none" w:color="000000" w:sz="0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Указать данные о назначенном кураторе сервиса в муниципалитете. Прикрепить скриншоты публикаций и ссылки на все материалы, размещенные в Навигаторе возможностей.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5" w:space="0"/>
              <w:left w:val="none" w:color="000000" w:sz="0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назначение куратора сервиса в муниципалитете - 2 балла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Количество опубликованных мероприятий от запланированных в Едином плане мероприятий:</w:t>
              <w:br/>
              <w:t xml:space="preserve"> до 40 % - 2 балла;</w:t>
              <w:br/>
              <w:t xml:space="preserve"> до 60 % - 4 балла;</w:t>
              <w:br/>
              <w:t xml:space="preserve"> до 80% - 6 баллов;</w:t>
              <w:br/>
              <w:t xml:space="preserve"> 100 % - 10 баллов.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публикацию мероприятий сверх плана - 2 балла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5" w:space="0"/>
              <w:left w:val="none" w:color="000000" w:sz="0" w:space="0"/>
              <w:bottom w:val="single" w:color="000000" w:sz="5" w:space="0"/>
              <w:right w:val="single" w:color="000000" w:sz="5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4.1: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4: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5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Критерий 5. Деятельность по направлениям</w:t>
            </w:r>
            <w:r>
              <w:rPr>
                <w:rFonts w:ascii="Times New Roman" w:hAnsi="Times New Roman" w:eastAsia="Times New Roman" w:cs="Times New Roman"/>
                <w:b/>
                <w:highlight w:val="red"/>
              </w:rPr>
            </w:r>
            <w:r>
              <w:rPr>
                <w:rFonts w:ascii="Times New Roman" w:hAnsi="Times New Roman" w:eastAsia="Times New Roman" w:cs="Times New Roman"/>
                <w:b/>
                <w:highlight w:val="red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  <w:b/>
          <w:highlight w:val="red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highlight w:val="red"/>
        </w:rPr>
      </w:r>
      <w:r>
        <w:rPr>
          <w:rFonts w:ascii="Times New Roman" w:hAnsi="Times New Roman" w:eastAsia="Times New Roman" w:cs="Times New Roman"/>
          <w:b/>
          <w:highlight w:val="red"/>
        </w:rPr>
      </w:r>
    </w:p>
    <w:tbl>
      <w:tblPr>
        <w:tblStyle w:val="955"/>
        <w:tblW w:w="14616" w:type="dxa"/>
        <w:tblInd w:w="-18" w:type="dxa"/>
        <w:tblLayout w:type="fixed"/>
        <w:tblLook w:val="0400" w:firstRow="0" w:lastRow="0" w:firstColumn="0" w:lastColumn="0" w:noHBand="0" w:noVBand="1"/>
      </w:tblPr>
      <w:tblGrid>
        <w:gridCol w:w="2430"/>
        <w:gridCol w:w="3537"/>
        <w:gridCol w:w="3269"/>
        <w:gridCol w:w="3677"/>
        <w:gridCol w:w="1703"/>
        <w:tblGridChange w:id="1">
          <w:tblGrid>
            <w:gridCol w:w="2430"/>
            <w:gridCol w:w="3537"/>
            <w:gridCol w:w="3269"/>
            <w:gridCol w:w="3677"/>
            <w:gridCol w:w="1703"/>
          </w:tblGrid>
        </w:tblGridChange>
      </w:tblGrid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5.1. Патриотическое воспитание молодёжи (в части полномочий Департамента молодёжной политики Новосибирской области)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Участие во Всероссийской патриотической акции «Снежный десант-Новосибирск»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Показатель оценивается специалистом Новосибирского регионального штаба студенческих отрядов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организацию акции в муниципальном районе в соответствии с полным графиком проведения начисляется 10 баллов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Наличие местного отделения  ВОД «Волонтеры Победы»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 протокол Учредительного собрания Местного отделения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Новосибирского регионального отделения Всероссийского общественного движения «ВОЛОНТЁРЫ ПОБЕДЫ» и инфосправку о работе местного отделения за отчетный период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наличие местного отделения начисляется 2 балла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предоставление информации о деятельности отделения дополнительно начисляется до 2 баллов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Участие во Всероссийских акциях, приуроченных к государственным праздникам и памятным датам в формате дней единых действий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Предоставить информационную справку с количественными показателями и описанием проведенных мероприятий. Указать ссылки на публикации в социальных сетях о проведенных акциях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наличие инфосправки начисляется 2 балла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За организацию каждой акции  начисляется 1 балл,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но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всего не более 20 баллов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Наличие военно-патриотического клуба при молодёжном центре в муниципальном образовании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 устав/положение военно-патриотического клуба и информационную справку с описанием качественных и количественных показателей работы клуба в отчетном периоде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каждый военно-патриотический клуб при молодёжном центре начисляется 1 балл, всего не более 10 баллов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предоставление информации о деятельности клуба начисляется 1 балл, но всего не более 10 баллов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Проведение военно-патриотических мероприятий с участием  военно-патриотических клубов, расположенных в муниципальном образовании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Указать наименование мероприятия; сведения об организаторе мероприятия; количество участников мероприятия; ссылку на публикацию в социальных сетях о проведенном мероприятии; наименование военно-патриотических клубов, принимавших участие в мероприятиях.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Учитываются военно-патриотические мероприятия, организованные и проведенные специалистами органов или учреждений по делам молодёжи с участием военно-патриотических клубов, расположенных в муниципальном образовании.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проведение военно-патриотических мероприятий начисляется: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от 1 до 5 мероприятий – 2 балла;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от 5 до 10 мероприятий – 4 балла;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более 10 мероприятий – 6 баллов.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реализации Всероссийского проекта служения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«Твой Герой»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 информационную справку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с количественными показателями и описанием проведенных в рамках проекта мероприятий.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Указать ссылки на публикации в социальных сетях о проведенных мероприятиях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наличие инфосправки начисляется 2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организацию каждого мероприятия начисляется 1 балл, но всего не более 8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реализации регионального плана основных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план реализации мероприятий и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информационную справку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с количественными показателями и описанием проведенных мероприятий за отчетный период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плана реализации мероприятий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начисляется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организацию каждого мероприятия начисляется 1 балл, но всего не более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тие в реализации регионального плана мероприятий по реализации Концепции развития военно-патриотического воспитания в Новосибирской области «Сибирь – территория мужества» на 2024 – 2026 годы на базе учреждений молодёжной политики муниципального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план реализации мероприятий и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информационную справку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количественными показателями и описанием проведенных мероприятий за отчетный период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плана реализации мероприятий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начисляется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организацию каждого мероприятия начисляется 1 балл, но всего не более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20" w:firstLine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юнармейских отрядов на базе образовательных организаций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20" w:firstLine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доставить список юнармейских отрядов местного отделения ВВПОД «Юнармия» с указанием образовательной организации и реквизитов локального приказа о создании юнармейского отряда. Указать общее количество образовательных организаций в муниципальном образовании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20" w:firstLine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Менее 50% образовательных организаций от общего количества в муниципальном образовании – 5 баллов;</w:t>
              <w:br/>
              <w:t xml:space="preserve"> </w:t>
              <w:br/>
              <w:t xml:space="preserve">Более 50% –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tbl>
      <w:tblPr>
        <w:tblStyle w:val="956"/>
        <w:tblW w:w="1460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553"/>
        <w:gridCol w:w="3279"/>
        <w:gridCol w:w="3668"/>
        <w:gridCol w:w="1701"/>
        <w:tblGridChange w:id="2">
          <w:tblGrid>
            <w:gridCol w:w="2400"/>
            <w:gridCol w:w="3553"/>
            <w:gridCol w:w="3279"/>
            <w:gridCol w:w="3668"/>
            <w:gridCol w:w="1701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5.2. Вовлечение молодёжи в волонтерскую деятельность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зарегистрированных человек от муниципального образования на платформе ДОБРО.РФ, вовлеченных в волонтерскую деятельность в качестве волонтеров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информацию с количеством зарегистрированных пользователей на сайте ДОБРО.РФ за отчетный период.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каждые 10 пользователей начисляется 1 балл, но не более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Проведение федеральных/ региональных/районных мероприятий на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аналитическую записку, содержащую информацию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о провед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енных мероприятиях в формате:</w:t>
              <w:br/>
              <w:br/>
              <w:t xml:space="preserve">Уровень мероприятия. Наименование мероприятия. Дата. Количество волонтеров. Ссылка на пост о мероприятии или информационную справку.</w:t>
              <w:br/>
              <w:br/>
              <w:t xml:space="preserve">Учитываются мероприятия только по направлению волонтёрской деятельности за отчетный период.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проведенное мероприятие районного уровня начисляется 1 балл, но не более 5.</w:t>
              <w:br/>
              <w:br/>
              <w:t xml:space="preserve">За каждое проведенное мероприятие регионального уровня начисляется 1 балл, но не более 5.</w:t>
              <w:br/>
              <w:br/>
              <w:t xml:space="preserve">За каждое проведенное мероприятие федерального уровня начисляется 1 балл, но не более 5.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Международной премии #МЫВМЕСТЕ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аналитическую записку, содержащую информацию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в формате: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поданных заявок от муниципального образования;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победителей регионального этапа муниципального образования;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участников, прошедших в полуфинал Премии.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каждые 2 поданные заявки начисляется 1 балл, но не более 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каждого победителя регионального этапа начисляется 2 балла, но не более 10 баллов. </w:t>
              <w:br/>
              <w:br/>
              <w:t xml:space="preserve">За выход в полуфинал премии начисляется 5 баллов, но не более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актуального плана работы по направлению волонтёрской деятельности на отчетный год (с учетом мероприятий регионального ресурсного центра добровольчества «Волонтерский корпус Новосибирской области»)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Представить скан утвержденного (с подписью руководителя учреждения) плана работы по направлению волонтёрской деятельности на отчетный год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актуального плана работы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пройденных обучений/курсов на образовательной платформе «Добро.Университет»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информацию с количеством обученных людей на сайте ДОБРО.РФ за отчетный период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каждые 5 обученных человек начисляется 1 балл, но не более 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мероприятиях регионального ресурсного центра добровольчества «Волонтерский корпус Новосибирской области»:</w:t>
              <w:br/>
              <w:t xml:space="preserve">1) Информационная кампания «Чтобы помогать, не нужен костюм супергероя»;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2) Волонтерский образовательный лагерь «54.VOL»;</w:t>
              <w:br/>
              <w:t xml:space="preserve">3) Региональная премия в сфере добровольчества «Я – волонтер»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аналитическую записку, содержащую информацию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в формате: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9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Информационная кампания «Чтобы помогать, не нужен костюм супергероя»: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поданных заявок, допущенных к оценке экспертной комиссии;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победителей инфокампании.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2. Волонтерский образовательный лагерь «54.VOL: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участников, прошедших отбор;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3. Региональная премия в сфере добровольчества «Я – волонтер: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заявок, допущенных к оценке экспертной комиссии;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финалистов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(2 и 3 место);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количество лауреатов (1 место)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а каждую поданную заявку на инфокампанию, допущенную к оценке экспертной комиссии, начисляется 1 балл, но не более 5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а победу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в инфокампании начисляется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5 баллов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, но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не более 10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За каждого участника лагеря, прошедшего отбор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начисляется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1 балл, но не более 5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каждую поданную заявку, допущенную к оценке экспертной комиссии, на премию начисляется 1 балл, но не более 5.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а каждого финалиста (2 и 3 место)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 2 балла, но не более 10.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каждого лауреата (1 место)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5 баллов, но не более 10.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и активное ведение группы Волонтерского корпуса в социальной сети ВКонтакте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ind w:firstLine="377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аналитическую записку, содержащую информацию по следующим пунктам: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ind w:firstLine="37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1. Указать ссылку на действующую группу ВКонтакте.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37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2. Указать количество подписчиков группы.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37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3. Указать количество публикаций за отчетный период с разбивкой по месяцам и суммарных охватом просмотров с предоставлением ссылок на значимые публикации (учитываются только публикации по направлению волонтёрской деятельности на отчетный период).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377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Учитывается систематичность публикаций. Учитываются только публикации по направлению волонтёрской деятельности. Учитывается качество публикаций – пост размещен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с качественными фотографиями/картинками, текстом, заголовком, отражает цели и задачи волонтерской деятельности.</w:t>
              <w:br/>
              <w:br/>
              <w:t xml:space="preserve">20 и более публикаций в месяц – 5 баллов.</w:t>
              <w:br/>
              <w:t xml:space="preserve">От 10 до 20 публикаций в месяц – 3 балла.</w:t>
              <w:br/>
              <w:t xml:space="preserve">От 3 до 10 публикаций в месяц – 1 балл.</w:t>
              <w:br/>
              <w:t xml:space="preserve">Меньше – 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и активное ведение страницы Волонтерского корпуса на платформе ДОБРО.РФ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ссылку на действующую страницу Волонтерского корпуса на платформе ДОБРО.РФ</w:t>
              <w:br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страницы на платформе ДОБРО.РФ – 1 балл.</w:t>
              <w:br/>
              <w:br/>
              <w:t xml:space="preserve">Страница качественно оформлена (описа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ние, фотографии, видео, логотип, актуальная электронная почта, номер телефона, адрес, указаны ссылки на социальные сети организации) – 2 балла.</w:t>
              <w:br/>
              <w:br/>
              <w:t xml:space="preserve">На странице размещено за отчетный период 5 мероприятий и больше – 2 балла.</w:t>
              <w:br/>
              <w:br/>
              <w:t xml:space="preserve">Страница верифицирована – 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5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Устойчивое развитие «Добро.Центров» в муниципалитете (при наличии официально открытых Добро.Центров)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аналитическую записку, подписанную главой муниципального образования, содержащую информацию по следующим пунктам: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1. Предоставление помещения площадью не менее 20 кв. м. для размещения Добро.Центра;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2. Дополнительные бюджетные средства на развитие добровольчества на территории муниципального образования, в том числе на деятельность Добро.Центра (с перечислением);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3. Наличие отдельной ставки специалиста, ответственного за выполнение сервисов Добро.Центра (с указанием контактных данных специалиста).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аналитической записке указать полное наименование организации, на базе которой открыт Добро.Центр и дату подписания договора о получении франшизы с Ассоциации волонтерских центров.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информации: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Выполнены 3 пункта - 5 баллов.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Выполнены 2 пункта - 3 балла.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Выполнен 1 пункт - 1 балл.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95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Устойчивое развитие опорных центров добровольчества в муниципалитете (при наличии официально открытых опорных центров добровольчества)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аналитическую записку, подписанную главой муниципального образования, содержащую информацию по следующим пунктам: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Информация о деятельности опорного центра добровольчества за отчетный период;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Перечислить меры поддержки, предоставляемые опорному центру добровольчества в муниципальном образовании для реализации деятельности.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аналитической записке указать полное наименование организации, на базе которой открыт опорный центр добровольчества и дату подписания договора о получении статуса.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51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Выполнены 2 пункта - 5 баллов.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Выполнен 1 пункт - 3 балла.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Не выполнено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- 0 баллов.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cantSplit w:val="false"/>
          <w:trHeight w:val="45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Деятельность муниципального штаба #МЫВМЕСТЕ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Предоставить аналитическую записку о деятельности штаба #МЫВМЕСТЕ, содержащую следующую информацию: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описание деят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ельности штаба за отчетный период, информация о направлениях оказываемой помощи, о реализуемых акциях, о результатах деятельности, о наличии партнёров и способах взаимодействия, количестве привлеченных добровольцев, ссылки на публикации в социальных сетях.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аналитической записке указать полное наименование организации, на базе которой открыт муниципальный штаб #МЫВМЕСТЕ с указанием контактов руководителя штаба.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377"/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Штаб активно функционирует, в социальных сетях публикуются мероприятия о деятельности, для реализации деятельности и оказания помощи штаб привлекает партнёров (в том числе государственные органы) – 5 баллов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Штаб активно функционирует, в социальных сетях публикуются мероприятия о деятельности, штаб регулярно направляет информацию для размещения в группе Волонтеры #МЫВМЕСТЕ Новосибирская область - 3 балла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Штаб создан и функционирует -1 балл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5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делегаций и представителей муниципального образования в мероприятиях, форумах и слетах за пределами муниципального образования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Представить аналитическую записку, </w:t>
            </w: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содержащую информацию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в формате: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5"/>
              </w:numPr>
              <w:ind w:left="0" w:firstLine="37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мероприятия, статус, количество участников от муниципального образования, дату, в которых принимали личное участие представители или делегации муниципального образования. Каждую запись вносите с новой строки;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ind w:left="0" w:firstLine="37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мероприятие, его статус, количество участников от муниципального образования, дату, в которых оказывали волонтерское сопровождение представители или делегации муниципального образования. Каждую запись вносите с новой строки.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представителем регионального ресурсного центра добровольчества «Волонтерский корпус Новосибирской области» на основании представленной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Международный или всероссийский уровень: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Представитель муниципального образования приняли личное участие в мероприятие или в волонтерском сопровождении мероприятия международного или всероссийского уровня – 1 балл, не более 5.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Региональный уровень: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numPr>
                <w:ilvl w:val="0"/>
                <w:numId w:val="17"/>
              </w:numPr>
              <w:ind w:left="360" w:hanging="36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Более 10 человек приняли личное участие в мероприятие или в волонтерском сопровождении регионального уровня – 5 баллов дополнительно, не более 5;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numPr>
                <w:ilvl w:val="0"/>
                <w:numId w:val="17"/>
              </w:numPr>
              <w:ind w:left="360" w:hanging="36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7-10 человек приняли личное участие в мероприятие или в волонтерском сопровождении регионального уровня – 3 балла;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numPr>
                <w:ilvl w:val="0"/>
                <w:numId w:val="17"/>
              </w:numPr>
              <w:ind w:left="360" w:hanging="36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4-6 человек приняли личное участие в мероприятие или в волонтерском сопровождении регионального уровня – 2 балла;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numPr>
                <w:ilvl w:val="0"/>
                <w:numId w:val="17"/>
              </w:numPr>
              <w:ind w:left="360" w:hanging="36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1-3 человека приняли личное участие в мероприятие или в волонтерском сопровождении регионального уровня – 1 балл;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numPr>
                <w:ilvl w:val="0"/>
                <w:numId w:val="17"/>
              </w:numPr>
              <w:ind w:left="360" w:hanging="36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0 человек приняли личное участие в мероприятие или в волонтерском сопровождении регионального уровня – 0 баллов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140 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eastAsia="Times New Roman" w:cs="Times New Roman"/>
          <w:highlight w:val="yellow"/>
        </w:rPr>
      </w:r>
    </w:p>
    <w:tbl>
      <w:tblPr>
        <w:tblStyle w:val="957"/>
        <w:tblW w:w="1459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544"/>
        <w:gridCol w:w="3260"/>
        <w:gridCol w:w="3686"/>
        <w:gridCol w:w="1701"/>
        <w:tblGridChange w:id="3">
          <w:tblGrid>
            <w:gridCol w:w="2405"/>
            <w:gridCol w:w="3544"/>
            <w:gridCol w:w="3260"/>
            <w:gridCol w:w="3686"/>
            <w:gridCol w:w="1701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5.3. Развитие движения КВН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Проведение районных мероприятий КВН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информацию о мероприятиях, проводимых на территории муниципального образования (название, дата проведения, количество команд-участниц, фотоотчет)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мероприятие начисляется 1 балл, но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color w:val="ff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Проведение на территории муниципального образования мероприятий КВН межрайонного, областного, межрегионального уровня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Предоставить информацию о мероприятиях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межрайонного, областного, межрегионального уровня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, проводимых на территории муниципального образования (название, дата проведения, список команд-участниц, фотоотчет)</w:t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межрайонных мероприятий на территории МР/ГО начисляется 2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областных мероприятий на территории МР/ГО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межрегиональных мероприятий на территории МР/ГО начисляется 7 баллов</w:t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команд КВН муниципального образования в мероприятиях межрайонного, областного, межрегионального, международного уровней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информацию об участии команд МР/ГО в мероприятиях межрайонного, областного, межрегионального, международного уровней (название мероприятия, название команд-участниц, дата и место проведения, фотоотчет)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факт участия команды МР/ГО в межрайонном мероприятии начисляется 1 балл, но не более 4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каждый факт участия команды МР/ГО в областном мероприятии начисляется 2 балла, но не более 4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br/>
              <w:t xml:space="preserve">За факт участия команды МР/ГО в межрегиональном мероприятии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  <w:br/>
              <w:t xml:space="preserve">За факт участия команды МР/ГО в международном мероприятии начисляется 7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  <w:r>
              <w:rPr>
                <w:rFonts w:ascii="Times New Roman" w:hAnsi="Times New Roman" w:eastAsia="Times New Roman" w:cs="Times New Roman"/>
                <w:color w:val="ff0000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ind w:firstLine="37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5.3: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5.4. Вовлечение молодёжи в занятие творческой деятельностью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региональном фестивале Новосибирской области «Российская студенческая весна»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куратором регионального фестиваля.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зонального этапа начисляется 5 баллов</w:t>
              <w:br/>
              <w:t xml:space="preserve">За уч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астие в зональном этапе начисляется 2 балла (всего не более 10 баллов)</w:t>
              <w:br/>
              <w:t xml:space="preserve">За участие в региональном этапе начисляется: участие 1-2 номеров - 3 балла, участие 3-4 номеров - 4 балла, 5 и более - 5 баллов.</w:t>
              <w:br/>
              <w:t xml:space="preserve">За участие во Всероссийском этапе начисляется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региональном музыкальном конкурсе «Универвидение»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куратором регионального фестиваля.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в региональном этапе начисляется 5 баллов</w:t>
              <w:br/>
              <w:t xml:space="preserve">За участие во всероссийском этапе начисляется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молодёжи муниципального образования в Фестивале творческих сообществ «Таврида-АРТ»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Критерий оценивается координатором участия молодёжи Новосибирской области в фестивале.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каждые 5 заявок начисляется 1 балл, но не более 5 баллов</w:t>
              <w:br/>
              <w:br/>
              <w:t xml:space="preserve">За участие в фестивале представителей муниципального образования – 1 балл за каждого представителя, но не более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ind w:firstLine="37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5.4: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5.5. Деятельность члена Молодёжного парламента Новосибирской области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Количество сессий Молодёжного парламента Новосибирской области, в которых принял участие член Молодёжного парламента Новосибирской области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Молодёжного парламента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каждое участие в сессии начисляется 1 балл (4 сессии в год)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Реализация собственных мероприятий, проектов и инициатив на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ндикатор оценивается куратором Молодёжного парламента Новосибирской области на основе отчетов членов Молодёжного парламента, направляемых два раза в год по форме, установленной советом Молодёжного парламента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каждое проведенное событие начисляется 1 баллов, но не более 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Помощь депутатам муниципального, регионального или федерального уровня в выполнении их задач на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Молодёжного парламента Новосибирской области на основании регулярно направляемой в течение года информации по мере проведения мероприятий, которые были организованы и проведены при участии члена Молодёжного парламента.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За содействие в выполнении задачи начисляется 1 балл, но не более 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Организация и проведение региональных акций («Урок парламентаризма», «Неделя безопасности», «Спорт во дворах») Молодежного парламента в муниципальных образованиях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Молодёжного парламента Новосибирской области на основании регулярно направляемой в течение года информации по мере проведения мероприятий, которые были организованы и проведены при участии члена Молодёжного парламента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За каждое мероприятие начисляется 1 балл, но не более 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Формирование и предложение законодательной инициативы членом Молодёжного парламента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Молодёжного парламента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За каждое разработанное предложение начисляется 1 баллов, но не более 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Максимальный балл по показателю 5.5: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  <w:i w:val="0"/>
          <w:iCs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i w:val="0"/>
          <w:iCs w:val="0"/>
          <w:rtl w:val="0"/>
        </w:rPr>
      </w:r>
      <w:r>
        <w:rPr>
          <w:rFonts w:ascii="Times New Roman" w:hAnsi="Times New Roman" w:eastAsia="Times New Roman" w:cs="Times New Roman"/>
          <w:i w:val="0"/>
          <w:iCs w:val="0"/>
        </w:rPr>
      </w:r>
      <w:r>
        <w:rPr>
          <w:rFonts w:ascii="Times New Roman" w:hAnsi="Times New Roman" w:eastAsia="Times New Roman" w:cs="Times New Roman"/>
          <w:i w:val="0"/>
          <w:iCs w:val="0"/>
        </w:rPr>
      </w:r>
    </w:p>
    <w:tbl>
      <w:tblPr>
        <w:tblStyle w:val="958"/>
        <w:tblW w:w="1460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630"/>
        <w:gridCol w:w="3199"/>
        <w:gridCol w:w="3686"/>
        <w:gridCol w:w="1701"/>
        <w:tblGridChange w:id="4">
          <w:tblGrid>
            <w:gridCol w:w="2385"/>
            <w:gridCol w:w="3630"/>
            <w:gridCol w:w="3199"/>
            <w:gridCol w:w="3686"/>
            <w:gridCol w:w="1701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5.6. Деятельность территориальной молодёжной избирательной комиссии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Наличие и численный состав территориальной молодёжной избирательной комиссии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Молодёжной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За наличие постоянно действующей территориальной молодёжной избирательной комиссии – 2 балла.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За наличие постоянно действующей территориальной молодёжной избирательной комиссии и нахождение в ней более 5-и членов – 4 балла.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Участие в организации и проведении выборов членов Молодежного парламента Новосибирской области V созыва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Молодёжной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участие в организации и проведении выборов членов Молодежного парламента Новосибирской области V созыва и результат явки избирателей &lt;5% от общего числа молодежи, проживающей на территории муниципального образования - 1 балл;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участие в организации и проведении выборов членов Молодежного парламента Новосибирской области V созыва и результат явки избирателей &gt;5% от общего числа молодежи, проживающей на территории муниципального образования - 2 балла;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участие в организации и проведении выборов членов Молодежного парламента Новосибирской области V созыва и результат явки избирателей &gt;15% от общего числа молодежи, проживающей на территории муниципального образования - 3 балла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Участие в итоговом заседании молодёжных избирательных комиссий Новосибирской области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Молодёжной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участие представителя начисляется 1 балл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Участие в проекте «Региональные игры по избирательному праву «Выбираю будущее» среди членов молодёжных избирательных комиссий Новосибирской области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куратором Молодёжной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участие команды начисляется 1 балл.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призовое место (1, 2 и 3) команды начисляется 2 балла.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Проведение просветительских и образовательных мероприятий территориальной молодёжной избирательной комиссии по повышению электоральной активности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Индикатор оценивается кур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  <w:rtl w:val="0"/>
              </w:rPr>
              <w:t xml:space="preserve">атором Молодёжной избирательной комиссии Новосибирской области на основании регулярно направляемой в течение года информации по мере проведения мероприятий, которые были организованы и проведены при участии территориальной молодёжной избирательной комиссии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За каждое мероприятие начисляется 1 балл, но не более 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tbl>
      <w:tblPr>
        <w:tblStyle w:val="959"/>
        <w:tblW w:w="1459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895"/>
        <w:gridCol w:w="1701"/>
        <w:tblGridChange w:id="5">
          <w:tblGrid>
            <w:gridCol w:w="12895"/>
            <w:gridCol w:w="1701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5.6: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60"/>
        <w:tblW w:w="1453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2395"/>
        <w:gridCol w:w="3638"/>
        <w:gridCol w:w="3169"/>
        <w:gridCol w:w="3639"/>
        <w:gridCol w:w="1694"/>
        <w:tblGridChange w:id="6">
          <w:tblGrid>
            <w:gridCol w:w="2395"/>
            <w:gridCol w:w="3638"/>
            <w:gridCol w:w="3169"/>
            <w:gridCol w:w="3639"/>
            <w:gridCol w:w="1694"/>
          </w:tblGrid>
        </w:tblGridChange>
      </w:tblGrid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5.7. Работающая молодёжь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Проведение мероприятий для работающей молодёжи на территории муниципального образования с количеством участников не менее 30 человек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Представить план мероприятий, указать ссылки на мероприятия в сети «Интернет» (учитываются только те мероприятия, которые были опубликованы)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с количеством участников менее 15 человек – 1 балл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с количеством участников более 15 человек – 2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1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представителя муниципального района/городского округа в мероприятиях Совета работающей молодёжи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Выбрать из закрытого списка мероприятий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одном мероприятии - 1 балл, всего не более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мероприятиях направления, проводимых отделами по делам по молодёжи районов области (межрайонные мероприятия)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Представить документы, подтверждающие участие в мероприятиях (дипломы, сертификаты участника/победителя, фотографии с мероприятия)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одном мероприятии - 1 балл, всего не более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5.7: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61"/>
        <w:tblW w:w="1460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610"/>
        <w:gridCol w:w="3212"/>
        <w:gridCol w:w="3668"/>
        <w:gridCol w:w="1703"/>
        <w:tblGridChange w:id="7">
          <w:tblGrid>
            <w:gridCol w:w="2410"/>
            <w:gridCol w:w="3610"/>
            <w:gridCol w:w="3212"/>
            <w:gridCol w:w="3668"/>
            <w:gridCol w:w="1703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5.8. Движение Первых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Проведение всероссийской акции «Мы – граждане России» в муниципальном районе или городском округе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даты проведения, количество человек, ссылки на соц. сети и СМИ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мероприятия начисляется 5 баллов,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Оказание поддержки местному отделению Движения Первых в реализации деятельности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даты проведения мероприятий, количество человек, ссылки на социальные сети и СМИ и форму поддержки органа/учреждения по делам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мероприятия начисляется 1 балл, всего не более 10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5.8: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62"/>
        <w:tblW w:w="14535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630"/>
        <w:gridCol w:w="3180"/>
        <w:gridCol w:w="3600"/>
        <w:gridCol w:w="1695"/>
        <w:tblGridChange w:id="8">
          <w:tblGrid>
            <w:gridCol w:w="2430"/>
            <w:gridCol w:w="3630"/>
            <w:gridCol w:w="3180"/>
            <w:gridCol w:w="3600"/>
            <w:gridCol w:w="1695"/>
          </w:tblGrid>
        </w:tblGridChange>
      </w:tblGrid>
      <w:tr>
        <w:tblPrEx/>
        <w:trPr>
          <w:cantSplit w:val="false"/>
          <w:trHeight w:val="4924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5.9. Развитие специалистов, занятых работой с молодёжью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областных семинарах-совещаниях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ФИО и должность специалиста, принявшего участие в полугодовом семинаре-совещании. Указать ФИО и должность специалиста, принявшего участие в итоговом семинаре-совещании.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 на основе предоставленной информации и листов регистрации, подтверждающих очное присутствие специалистов на мероприятиях.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руководителя органа/учреждения в полугодовом семинаре-совещании начисляется 2 балла за каждого участника, но не более 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специалиста органа/учреждения в полугодовом семинаре-совещании начисляется 1 балл за каждого участника, но не более 2.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руководителя органа/учреждения в итоговом семинаре-совещании начисляется 2 балла за каждого участника, но не более 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специалиста органа/учреждения в итоговом семинаре-совещании начисляется 1 балл за каждого участника, но не более 2.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Участие в региональной программе «Знак качества деятельности молодёжных центров, расположенных в Новосибирской области»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полное прохождение первого этапа программы (самоанализ) начисляется 3 балла для каждого из учреждений-участников, но не более 9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победу в программе дополнительно начисляется 3 балла для каждого из учреждений-участников, но не более 9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конкурсе на лучшего работника сферы молодёжной политики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одного специалиста в очном этапе конкурса в индивидуальной номинации начисляется 1 балл, но не более 3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призовое место в индивидуальной номинации начисляется 2 балла за каждое призовое место, но не более 6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победу в индивидуальной номинации начисляется 3 балла за каждую победу, но не более 9 баллов.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одной команды специалистов в очном этапе конкурса в командной номинации начисляется 2 балла, но не более 4.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призовое место в командной номинации начисляется 3 балла, но не более 6.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победу в командной номинации дополнительно 4 балла за каждую победу, но не более 8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во всероссийском конкурсе профессионального мастерства специалистов сферы молодёжной политики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ФИО и должность специалистов, принявших участие во всероссийском конкурсе профессионального мастерства специалистов сферы молодёжной политики. Указать вс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е этапы конкурса, в которых специалист принял участие. Приложить документы, подтверждающие очное участие специалиста (например, сертификат, приказ и т.д.). Приложить документы, подтверждающие победу специалиста в конкурсе (например, диплом, грамоту и т.д.)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 на основе предоставленной информации.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одного специалиста и/или команды в заочном этапе конкурса начисляется 1 балл, всего не более 6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одного специалиста и/или команды в очном этапе конкурса начисляется 2 балла за каждый факт участия, всего не более 8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призовое место специалиста и/или команды во всероссийском конкурсе начисляется 4 балла, всего не более 12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победу специалиста и/или команды во всероссийском конкурсе начисляется 5 баллов, всего  не более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образовательных курсах, проводимых в рамках Корпоративного университета молодёжной работы Новосибирской области.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ФИО и должность специалиста. Указать курс, на котором специалист прошел обучение. Приложить документ, подтверждающий окончание курса (скан сертификата или номер удостоверения о повышении квалификации).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 на основе предоставленной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прохождения специалистом постоянного онлайн-курса вводной адаптации молодёжных работников с получением сертификата начисляется 1 балл, но не более 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прохождения специалистом постоянного онлайн-курса для организаторов форумов с получением сертификата начисляется 1 балл, но не более 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прохождения специалистом в полном объеме курса повышения квалификации с получением соответствующего удостоверения начисляется 5 баллов, но не более 15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вебинарах Методического клуба молодёжных работников Новосибирской области в качестве спикера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специалиста в вебинаре Методического клуба в качестве спикера начисляется 5 баллов, но не более 10 баллов.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проекте «Открытые пространства»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Указать название открытого пространства, команда которого приняла участие в 7 сезоне проекта.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команды МР/ГО начисляется 3 балла, но не более 9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победы в проекте команды МР/ГО начисляется 5 баллов, но не более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специалистов, принявших участие в форуме молодёжи Новосибирской области «ПРОрегион»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службой форума по работе с участниками.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каждого специалиста начисляется 1 балл, всего не более 3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Участие в программе стажировок молодёжных работников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Указать ФИО и должность специалиста, который принял участие в стажировке. Указать даты и место проведения стажировки. Указать наименование мероприятия, в рамках которого проходила стажировка.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отдела организационно-методического обеспечения деятельности ГБУ НСО «АПМИ»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на основе предоставленной информации.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специалиста в качестве стажёра начисляется 1 балл, но всегоьне более 4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органа/учреждения по делам молодёжи МР/ГО в программе в качестве наставника начисляется 5 баллов, но всего не более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5.9: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5.10 Поддержка института молодой семьи и развитие семейных ценностей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активных клубов и объединений молодых семей на территории муниципального района или городского округа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Предста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вить список активных клубов и объединений молодых семей на территории муниципального района или городского округа с указанием информации об их деятельности за год (данных куратора, количество участников, мероприятий, направлений работы, ссылки на соц.сети)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активных объединений только в районном центре начисляется 3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активных объединений более, чем в 5 муниципалитетах начисляется 7 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активных объединений во всех муниципалитетах начисляется 10 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плана мероприятий в сфере поддержки семейных ценностей и деятельности клубов молодых семей и проводимых органом/учреждением по делам молодежи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Приложить план мероприятий и отчетную документации о проведении мероприятий.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i w:val="0"/>
                <w:iCs w:val="0"/>
                <w:rtl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направления на основе представленных документов.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плана начисляется 5 баллов, за его реализацию и наличие отчета начисляется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молодых семей муниципального образования в региональных мероприятиях/проектах семейной направленности в сфере молодежной политики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направления.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каждую семью, принявшую участие в проектах/мероприятиях, начисляется 1 балл. Всего не более 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5.10: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63"/>
        <w:tblW w:w="1453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2395"/>
        <w:gridCol w:w="3638"/>
        <w:gridCol w:w="3169"/>
        <w:gridCol w:w="3506"/>
        <w:gridCol w:w="1827"/>
        <w:tblGridChange w:id="9">
          <w:tblGrid>
            <w:gridCol w:w="2395"/>
            <w:gridCol w:w="3638"/>
            <w:gridCol w:w="3169"/>
            <w:gridCol w:w="3506"/>
            <w:gridCol w:w="1827"/>
          </w:tblGrid>
        </w:tblGridChange>
      </w:tblGrid>
      <w:tr>
        <w:tblPrEx/>
        <w:trPr>
          <w:cantSplit w:val="false"/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5.11. Молодёжный туризм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программе по развитию молодёжного туризма «Больше, чем путешествие» Росмолодёжи в рамках дней единых действий совместно с Движением Первых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 информационную справку с указанием количества проведенных мероприятий и количеством участников каждого мероприятия.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1 балл (всего не более 10)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туристического кружка при молодёжном центре в муниципальном образовании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Приложить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документы, подтверждающие работу кружка в отчетном периоде (информационная справка об итогах работы туристического кружка, план работы)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информационной справки – 2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плана работы – 2 балла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firstLine="39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5.11: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5.12. Молодёжное предпринимательство и сотрудничество с бизнесом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мероприятий по поддержке молодёжного предпринимательства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план мероприятий, указать ссылки на мероприятия в сети «Интернет» (учитываются только те мероприятия, которые были опубликованы)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1 балл (всего не более 10)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и реализация программы по поддержке молодёжного предпринимательства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Приложить утвержденную программу поддержки молодёжного предпринимательства, отчеты за прошедшие периоды. Указать публикации в сети Интернет. Прикрепить аналитическую записку с примерами сложившихся практик и результатов работы.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утвержденной программы –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Программа утверждена главой муниципального района/городского округа –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Реализация плана с наличием подкрепляющей аналитической информации – дополнительно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Мероприятия с привлечением бизнес-сообществ для реализации задач молодёжной политики муниципалитета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rtl w:val="0"/>
              </w:rPr>
              <w:t xml:space="preserve">Представить план мероприятий, указать ссылки на мероприятия в сети «Интернет» (учитываются только те мероприятия, которые были опубликованы).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1 балл (всего не более 10)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показателю 5.12: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5: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698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64"/>
        <w:tblW w:w="14535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630"/>
        <w:gridCol w:w="3165"/>
        <w:gridCol w:w="3630"/>
        <w:gridCol w:w="1680"/>
        <w:tblGridChange w:id="10">
          <w:tblGrid>
            <w:gridCol w:w="2430"/>
            <w:gridCol w:w="3630"/>
            <w:gridCol w:w="3165"/>
            <w:gridCol w:w="3630"/>
            <w:gridCol w:w="1680"/>
          </w:tblGrid>
        </w:tblGridChange>
      </w:tblGrid>
      <w:tr>
        <w:tblPrEx/>
        <w:trPr>
          <w:cantSplit w:val="false"/>
          <w:trHeight w:val="422"/>
        </w:trPr>
        <w:tc>
          <w:tcPr>
            <w:gridSpan w:val="5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Критерий 6. Профилактика негативных явлений в молодёжной среде</w:t>
            </w: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c0000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c00000"/>
              </w:rPr>
            </w:r>
            <w:r>
              <w:rPr>
                <w:rFonts w:ascii="Times New Roman" w:hAnsi="Times New Roman" w:eastAsia="Times New Roman" w:cs="Times New Roman"/>
                <w:b/>
                <w:color w:val="c00000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6.1. Вовлечение молодёжи в здоровый образ жизни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молодёжном проекте «ЗОЖники»:</w:t>
              <w:br/>
              <w:t xml:space="preserve">1. Реализация проекта на территории муниципального образования (проведение мероприятий проекта);</w:t>
              <w:br/>
              <w:t xml:space="preserve">2. Предоставление отчетной документации.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Показатель оценивается руководителем областного проекта на основе заранее представленных в рабочем порядке отчета о проделанной по проекту работе в установленной форме и в закрепленные положением сроки.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реализацию мероприятий проекта в рамках 1 тура начисляется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реализацию мероприятий проекта в рамках 2 тура начисляется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выход участника-представителя муниципального образования в 3 тур начисляется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победу участника-представителя муниципального образования начисляется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выход в финал проекта куратора-представителя района начисляется 2 балла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Организация и проведение мероприятий, направленных на популяризацию принципов ЗОЖ в молодежной среде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мероприятия (название, дата, место проведения) с указанием ссылки на информационный источник.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количество молодых людей, принимавших участие в каждом мероприятии.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с аудиторией до 15 человек начисляется 1 балл.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с аудиторией до 30 человек начисляется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с аудиторией до 60  человек начисляется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с аудиторией от 60 и более  человек начисляется 4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Всего не более 12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6.1: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6.2. Профилактика ситуаций риска в молодёжной среде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межведомственного комплексного плана по профилактике наркомании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Приложить утвержденный план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комплексного плана начисляется 5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плана мероприя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тий по профилактике ВИЧ/СПИД в молодёжной среде, в том числе мероприятий, приуроченных к Всесибирскому дню борьбы со СПИДом (1 марта), Всемирному дню памяти людей, умерших от СПИДа (третье воскресенье мая), Всемирному дню борьбы со СПИДом (1 декабря) и тд.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мероприятия (название, дата, место проведения) с указанием ссылки на информационный источник. Указать количество молодых людей, принимавших участие в каждом мероприятии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начисляется 2 балла, всего не более 12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мероприятий, направленных на противодействие распространению идеологии терроризма и экстремизма в молодёжной среде, проводимых органом/учреждением по делам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мероприятия (название, дата, место проведения) с указанием ссылки на информационный источник. Указать количество молодых людей, принимавших участие в каждом мероприятии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каждое проведенное мероприятие начисляется 2 балла, всего не более 12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молодых людей, участвующих в деятельности движения «Кибердружина»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Показатель оценивается руководителем «Кибердружины» Новосибирской области на основе: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273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– фактического членства в движении «Кибердружина»;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273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– оценки предоставляемых индивидуальных отчетов по мониторингу;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firstLine="273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– 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проведенных мероприятий по информационной безопасности (приложить информационную справку с указанием количества мероприятий, их названий, дат проведения и тем каждого мероприятия, а также ссылки на публикации в социальных сетях о проведенных мероприятиях);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8"/>
              </w:numPr>
              <w:ind w:left="0" w:firstLine="28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опубликованных постов, несущих позитивную или профилактическую повестку (приложить информационную справку, в которой указано количество публикаций и ссылки на публикации, сгруппированные по темам).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наличие в районе штаба «Кибердружины» начисляется до 2 баллов в зависимости от численности штаба: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Численность штаба составляет от 1 до 5 человек – 1 балл;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7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Численность штаба составляет 5 и более человек –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отчеты по мониторингу, предоставленные в установленные куратором проекта сроки, составленные по рекомендациям, содержащие только релевантные работающие ссылки на деструктивный контент, начисляется до 4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4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Отсутствие отчетов – 0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4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Наличие разрыва между отчетами от 2 месяцев и более – 1 балл;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4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Регулярные ежемесячные отчеты – 2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4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суммарное количество ссылок за год от 100 до 200 – 1 балл;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4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Более 201 –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просветительских мероприятий по безопасности в сети «Интернет» начисляется до 3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от 2 до 5 мероприятий в год с публикацией информации о них с фотографиями в Интернете – 1 балл.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от 6 до 10 мероприятий в год с публикацией информации о них с фотографиями в Интернете –  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9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проведение от 11 мероприятий в год и более с публикацией информации о них с фотографиями в Интернете –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публикацию позитивного контента в сети «Интернет» с хештегом #Кибердружина_НСО начисляется до 3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3 до 6 публикаций – 1 балл;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7 до 11 – 2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8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12 и более –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Всего не более 12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5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представителей муниципалитета во всероссийских, окружных мероприятиях по профилактике терроризма, социально-негативных и деструктивных явлений в молодёжной среде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ФИО специалиста отдела/учреждения по делам молодежи, принявшего участие в мероприятиях (с указанием названия, даты и места проведения мероприятия, сертификата  об участии (или подтвердите факт его участия иным способом).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специалиста в мероприятиях начисляется до 2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1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окружной уровень – 1 балл;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1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всероссийский уровень –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участие (поданная заявка на ФГАИС «Молодёжь России») в мероприятии с грантовым проектом по профилактике – 1 балл.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победу в грантовом конкурсе с проектной идеей по профилактике – 3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Всего не более 12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50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публикаций в сети «Интернет», использованных для доведения до молодёжи просветительских информационных материалов в области профилактики негативных явлений (терроризм, наркомания, школьная травля и тд.)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ссылки на ориги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нальные (самостоятельно инициированные и сформированные) публикации по обозначенной тематике в интернет-ресурсах (статьи в онлайн-газетах, публикации в социальных сетях, материалы на сайтах организаций, работающих в том числе с молодежной аудиторией и пр.)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системную профилактическую деятельность в сети Интернет начисляется до 4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количество материалов от 3 до 5 – 2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количество материалов от 6 до 9 – 3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2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количество материалов от 10 – 4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6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Систематическая работа специалистов по формированию позитивной и мотивирующей к развитию информационной повестки в Интернет-пространстве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Предоставить ссылки на аккаунты/Интернет-ресурсы, в которых размещаются публикации, несущие позитивную и мотивирующую к развитию информационную повестку с использованием  #АгентыИнформируют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количество публикаций с использованием  #АгентыИнформируют в  течение года: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6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24 шт  – 2 балла;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3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36 шт – 5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5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48 шт – 7 баллов;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 60 шт – 10 баллов 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6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трудовых отрядов подростков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  <w:t xml:space="preserve">Индикатор оценивается руководителем направления на основе списков трудоустроенных бойцов.</w:t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76" w:lineRule="auto"/>
              <w:widowControl w:val="off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sdt>
              <w:sdtPr>
                <w15:appearance w15:val="boundingBox"/>
                <w:tag w:val="goog_rdk_0"/>
                <w:rPr>
                  <w:rFonts w:ascii="Times New Roman" w:hAnsi="Times New Roman" w:eastAsia="Times New Roman" w:cs="Times New Roman"/>
                  <w:i w:val="0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i w:val="0"/>
                    <w:iCs w:val="0"/>
                    <w:rtl w:val="0"/>
                  </w:rPr>
                  <w:t xml:space="preserve">За 1 отряд, численностью ≥10 человек – 5 баллов.</w:t>
                </w:r>
              </w:sdtContent>
            </w:sdt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</w:p>
          <w:p>
            <w:pPr>
              <w:spacing w:after="0" w:line="276" w:lineRule="auto"/>
              <w:widowControl w:val="off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rtl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</w:p>
          <w:p>
            <w:pPr>
              <w:spacing w:after="0" w:line="276" w:lineRule="auto"/>
              <w:widowControl w:val="off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sdt>
              <w:sdtPr>
                <w15:appearance w15:val="boundingBox"/>
                <w:tag w:val="goog_rdk_1"/>
                <w:rPr>
                  <w:rFonts w:ascii="Times New Roman" w:hAnsi="Times New Roman" w:eastAsia="Times New Roman" w:cs="Times New Roman"/>
                  <w:i w:val="0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i w:val="0"/>
                    <w:iCs w:val="0"/>
                    <w:rtl w:val="0"/>
                  </w:rPr>
                  <w:t xml:space="preserve">За 2 и более отряда, численностью ≥10 человек – 10 баллов.</w:t>
                </w:r>
              </w:sdtContent>
            </w:sdt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6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Количество бойцов трудовых отрядов подростков, принявших участие во Всероссийской патриотической акции «Снежный десант – Новосибирск»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Индикатор оценивается руководителем направления на основе списков участников акции «Снежный десант – Новосибирск».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каждого участника начисляется 0,5 балла, но не более 10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450"/>
        </w:trPr>
        <w:tc>
          <w:tcPr>
            <w:gridSpan w:val="4"/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6.2: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6.3. Работа с молодёжью «группы риска»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Участие в работе с молодёжью в рамках деятельности муниципальной комиссии по делам несовершеннолетних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Указать ФИО специалиста отдела/учреждения по делам молодёжи, входящего в состав КДН.</w:t>
              <w:br/>
              <w:t xml:space="preserve">Представить скан титульной страницы журнала учета работы с базой подростков, состоящих на учете КДН, и вовлеченных в деятельность органа/учреждения по делам молодёжи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факт участия специалиста в работе КДН начисляется 2 балла.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  <w:br/>
              <w:t xml:space="preserve">За ведение журнала учета начисляется 8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Работа с «неорганизованной молодёжью»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footnoteReference w:id="3"/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Прикрепить информационную справку о выстроенной работе с «неорганизованной молодёжью» (применяемые формы работы, охваты и результаты вовлечения)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За объективную результативность работы начисляется 5 баллов.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Работа уличных социальных служб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Требуется п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рикрепить краткую аналитическую справку о результатах деятельности службы: информацию о каждом выходе (дата выхода, количество охваченных и ссылка на пост). Также указать ФИО и контактные данные куратора УСС в МР/ГО (объем документа не более 1000 знаков).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Индикатор оценивается руководителем отдела информационной и психологической безопасности молодежи ГБУ НСО «АПМИ» на основе предоставленной информации.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За совершенные выходы уличной социальной службы начисляются от 1 до 10 баллов: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 балл – 1-2 выхода;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2 балла – 3-4 выхода;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3 балла – 5-6 выходов;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4 балла – 7-8 выходов;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 баллов – 9-10 выходов;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6 баллов – 11-12 выходов;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7 баллов – 13-14 выходов;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8 баллов – 15-16 выходов;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spacing w:after="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9 баллов – 17-18 выходов;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numPr>
                <w:ilvl w:val="0"/>
                <w:numId w:val="10"/>
              </w:numPr>
              <w:ind w:left="720" w:hanging="360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10 баллов – 19-20 выходов.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Критерий оценивается исходя из данных регионального куратора о работе уличной социальной службы в районе и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представленных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аналитических справок.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76" w:lineRule="auto"/>
        <w:widowControl w:val="off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965"/>
        <w:tblW w:w="14535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840"/>
        <w:gridCol w:w="1695"/>
        <w:tblGridChange w:id="11">
          <w:tblGrid>
            <w:gridCol w:w="12840"/>
            <w:gridCol w:w="1695"/>
          </w:tblGrid>
        </w:tblGridChange>
      </w:tblGrid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6.3: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критерию 6: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315"/>
        </w:trPr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Максимальный балл по всем шести критериям:</w:t>
            </w:r>
            <w:r>
              <w:rPr>
                <w:rFonts w:ascii="Times New Roman" w:hAnsi="Times New Roman" w:eastAsia="Times New Roman" w:cs="Times New Roman"/>
                <w:i/>
              </w:rPr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Mar>
              <w:left w:w="45" w:type="dxa"/>
              <w:top w:w="30" w:type="dxa"/>
              <w:right w:w="45" w:type="dxa"/>
              <w:bottom w:w="30" w:type="dxa"/>
            </w:tcMar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sz w:val="28"/>
          <w:szCs w:val="28"/>
        </w:rPr>
      </w:r>
      <w:bookmarkStart w:id="2" w:name="_heading=h.30j0zll"/>
      <w:r>
        <w:rPr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36"/>
          <w:szCs w:val="36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Symbols">
    <w:panose1 w:val="020B0502040504020204"/>
  </w:font>
  <w:font w:name="Courier New">
    <w:panose1 w:val="02070309020205020404"/>
  </w:font>
  <w:font w:name="Segoe UI">
    <w:panose1 w:val="020B050204050402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rtl w:val="0"/>
        </w:rPr>
        <w:t xml:space="preserve">Под поименованным органом в данном документе понимается орган по делам молодёжи в составе администрации муниципального района или городского округа, в названии которого присутствуют словосочетания: молодёжная политика, дела молодёжи, работа с молодёжью.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rtl w:val="0"/>
        </w:rPr>
        <w:t xml:space="preserve">Под неорганизованной молодёжью в данном документе понимается категория молодых людей, не занятых образовательной или трудовой деятельностью.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58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4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0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69" w:hanging="360"/>
      </w:pPr>
      <w:rPr>
        <w:rFonts w:ascii="Noto Sans Symbols" w:hAnsi="Noto Sans Symbols" w:eastAsia="Noto Sans Symbols" w:cs="Noto Sans Symbol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58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4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0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69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58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58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58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58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4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0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69" w:hanging="360"/>
      </w:pPr>
      <w:rPr>
        <w:rFonts w:ascii="Noto Sans Symbols" w:hAnsi="Noto Sans Symbols" w:eastAsia="Noto Sans Symbols" w:cs="Noto Sans Symbol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8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02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422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142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862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582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302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022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742" w:hanging="360"/>
      </w:pPr>
      <w:rPr>
        <w:rFonts w:ascii="Noto Sans Symbols" w:hAnsi="Noto Sans Symbols" w:eastAsia="Noto Sans Symbols" w:cs="Noto Sans Symbol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58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58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4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0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69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Normal"/>
  </w:style>
  <w:style w:type="paragraph" w:styleId="725">
    <w:name w:val="Heading 1"/>
    <w:basedOn w:val="724"/>
    <w:next w:val="724"/>
    <w:pPr>
      <w:keepLines/>
      <w:keepNext/>
      <w:spacing w:before="480" w:after="120"/>
    </w:pPr>
    <w:rPr>
      <w:b/>
      <w:sz w:val="48"/>
      <w:szCs w:val="48"/>
    </w:rPr>
  </w:style>
  <w:style w:type="paragraph" w:styleId="726">
    <w:name w:val="Heading 2"/>
    <w:basedOn w:val="724"/>
    <w:next w:val="724"/>
    <w:pPr>
      <w:keepLines/>
      <w:keepNext/>
      <w:spacing w:before="360" w:after="80"/>
    </w:pPr>
    <w:rPr>
      <w:b/>
      <w:sz w:val="36"/>
      <w:szCs w:val="36"/>
    </w:rPr>
  </w:style>
  <w:style w:type="paragraph" w:styleId="727">
    <w:name w:val="Heading 3"/>
    <w:basedOn w:val="724"/>
    <w:next w:val="724"/>
    <w:pPr>
      <w:keepLines/>
      <w:keepNext/>
      <w:spacing w:before="280" w:after="80"/>
    </w:pPr>
    <w:rPr>
      <w:b/>
      <w:sz w:val="28"/>
      <w:szCs w:val="28"/>
    </w:rPr>
  </w:style>
  <w:style w:type="paragraph" w:styleId="728">
    <w:name w:val="Heading 4"/>
    <w:basedOn w:val="724"/>
    <w:next w:val="724"/>
    <w:pPr>
      <w:keepLines/>
      <w:keepNext/>
      <w:spacing w:before="240" w:after="40"/>
    </w:pPr>
    <w:rPr>
      <w:b/>
      <w:sz w:val="24"/>
      <w:szCs w:val="24"/>
    </w:rPr>
  </w:style>
  <w:style w:type="paragraph" w:styleId="729">
    <w:name w:val="Heading 5"/>
    <w:basedOn w:val="724"/>
    <w:next w:val="724"/>
    <w:pPr>
      <w:keepLines/>
      <w:keepNext/>
      <w:spacing w:before="220" w:after="40"/>
    </w:pPr>
    <w:rPr>
      <w:b/>
    </w:rPr>
  </w:style>
  <w:style w:type="paragraph" w:styleId="730">
    <w:name w:val="Heading 6"/>
    <w:basedOn w:val="724"/>
    <w:next w:val="724"/>
    <w:pPr>
      <w:keepLines/>
      <w:keepNext/>
      <w:spacing w:before="200" w:after="40"/>
    </w:pPr>
    <w:rPr>
      <w:b/>
      <w:sz w:val="20"/>
      <w:szCs w:val="20"/>
    </w:rPr>
  </w:style>
  <w:style w:type="paragraph" w:styleId="731">
    <w:name w:val="Title"/>
    <w:basedOn w:val="724"/>
    <w:next w:val="724"/>
    <w:pPr>
      <w:keepLines/>
      <w:keepNext/>
      <w:spacing w:before="480" w:after="120"/>
    </w:pPr>
    <w:rPr>
      <w:b/>
      <w:sz w:val="72"/>
      <w:szCs w:val="72"/>
    </w:rPr>
  </w:style>
  <w:style w:type="paragraph" w:styleId="732">
    <w:name w:val="Normal"/>
  </w:style>
  <w:style w:type="paragraph" w:styleId="733">
    <w:name w:val="Heading 1"/>
    <w:basedOn w:val="732"/>
    <w:next w:val="732"/>
    <w:link w:val="762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34">
    <w:name w:val="Heading 2"/>
    <w:basedOn w:val="732"/>
    <w:next w:val="732"/>
    <w:link w:val="76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35">
    <w:name w:val="Heading 3"/>
    <w:basedOn w:val="732"/>
    <w:next w:val="732"/>
    <w:link w:val="764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36">
    <w:name w:val="Heading 4"/>
    <w:basedOn w:val="732"/>
    <w:next w:val="732"/>
    <w:link w:val="936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37">
    <w:name w:val="Heading 5"/>
    <w:basedOn w:val="732"/>
    <w:next w:val="732"/>
    <w:link w:val="765"/>
    <w:pPr>
      <w:keepLines/>
      <w:keepNext/>
      <w:spacing w:before="220" w:after="40"/>
      <w:outlineLvl w:val="4"/>
    </w:pPr>
    <w:rPr>
      <w:b/>
    </w:rPr>
  </w:style>
  <w:style w:type="paragraph" w:styleId="738">
    <w:name w:val="Heading 6"/>
    <w:basedOn w:val="732"/>
    <w:next w:val="732"/>
    <w:link w:val="766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39">
    <w:name w:val="Heading 7"/>
    <w:basedOn w:val="732"/>
    <w:next w:val="7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0">
    <w:name w:val="Heading 8"/>
    <w:basedOn w:val="732"/>
    <w:next w:val="732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1">
    <w:name w:val="Heading 9"/>
    <w:basedOn w:val="732"/>
    <w:next w:val="732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Heading 1 Char"/>
    <w:basedOn w:val="742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42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basedOn w:val="742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5 Char"/>
    <w:basedOn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6 Char"/>
    <w:basedOn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basedOn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8 Char"/>
    <w:basedOn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Heading 9 Char"/>
    <w:basedOn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Title Char"/>
    <w:basedOn w:val="742"/>
    <w:uiPriority w:val="10"/>
    <w:rPr>
      <w:sz w:val="48"/>
      <w:szCs w:val="48"/>
    </w:rPr>
  </w:style>
  <w:style w:type="character" w:styleId="754" w:customStyle="1">
    <w:name w:val="Subtitle Char"/>
    <w:basedOn w:val="742"/>
    <w:uiPriority w:val="11"/>
    <w:rPr>
      <w:sz w:val="24"/>
      <w:szCs w:val="24"/>
    </w:rPr>
  </w:style>
  <w:style w:type="character" w:styleId="755" w:customStyle="1">
    <w:name w:val="Quote Char"/>
    <w:uiPriority w:val="29"/>
    <w:rPr>
      <w:i/>
    </w:rPr>
  </w:style>
  <w:style w:type="character" w:styleId="756" w:customStyle="1">
    <w:name w:val="Intense Quote Char"/>
    <w:uiPriority w:val="30"/>
    <w:rPr>
      <w:i/>
    </w:rPr>
  </w:style>
  <w:style w:type="character" w:styleId="757" w:customStyle="1">
    <w:name w:val="Header Char"/>
    <w:basedOn w:val="742"/>
    <w:uiPriority w:val="99"/>
  </w:style>
  <w:style w:type="character" w:styleId="758" w:customStyle="1">
    <w:name w:val="Caption Char"/>
    <w:uiPriority w:val="99"/>
  </w:style>
  <w:style w:type="character" w:styleId="759" w:customStyle="1">
    <w:name w:val="Footnote Text Char"/>
    <w:uiPriority w:val="99"/>
    <w:rPr>
      <w:sz w:val="18"/>
    </w:rPr>
  </w:style>
  <w:style w:type="character" w:styleId="760" w:customStyle="1">
    <w:name w:val="Endnote Text Char"/>
    <w:uiPriority w:val="99"/>
    <w:rPr>
      <w:sz w:val="20"/>
    </w:rPr>
  </w:style>
  <w:style w:type="paragraph" w:styleId="761">
    <w:name w:val="Title"/>
    <w:basedOn w:val="732"/>
    <w:next w:val="732"/>
    <w:link w:val="771"/>
    <w:pPr>
      <w:keepLines/>
      <w:keepNext/>
      <w:spacing w:before="480" w:after="120"/>
    </w:pPr>
    <w:rPr>
      <w:b/>
      <w:sz w:val="72"/>
      <w:szCs w:val="72"/>
    </w:rPr>
  </w:style>
  <w:style w:type="character" w:styleId="762" w:customStyle="1">
    <w:name w:val="Заголовок 1 Знак"/>
    <w:basedOn w:val="742"/>
    <w:link w:val="733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Заголовок 2 Знак"/>
    <w:basedOn w:val="742"/>
    <w:link w:val="734"/>
    <w:uiPriority w:val="9"/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42"/>
    <w:link w:val="735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Заголовок 5 Знак"/>
    <w:basedOn w:val="742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basedOn w:val="74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7 Знак"/>
    <w:basedOn w:val="74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Заголовок 8 Знак"/>
    <w:basedOn w:val="74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basedOn w:val="742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after="0" w:line="240" w:lineRule="auto"/>
    </w:pPr>
  </w:style>
  <w:style w:type="character" w:styleId="771" w:customStyle="1">
    <w:name w:val="Название Знак"/>
    <w:basedOn w:val="742"/>
    <w:link w:val="761"/>
    <w:uiPriority w:val="10"/>
    <w:rPr>
      <w:sz w:val="48"/>
      <w:szCs w:val="48"/>
    </w:rPr>
  </w:style>
  <w:style w:type="character" w:styleId="772" w:customStyle="1">
    <w:name w:val="Подзаголовок Знак"/>
    <w:basedOn w:val="742"/>
    <w:link w:val="927"/>
    <w:uiPriority w:val="11"/>
    <w:rPr>
      <w:sz w:val="24"/>
      <w:szCs w:val="24"/>
    </w:rPr>
  </w:style>
  <w:style w:type="paragraph" w:styleId="773">
    <w:name w:val="Quote"/>
    <w:basedOn w:val="732"/>
    <w:next w:val="732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32"/>
    <w:next w:val="732"/>
    <w:link w:val="9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6">
    <w:name w:val="Header"/>
    <w:basedOn w:val="73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 w:customStyle="1">
    <w:name w:val="Верхний колонтитул Знак"/>
    <w:basedOn w:val="742"/>
    <w:link w:val="776"/>
    <w:uiPriority w:val="99"/>
  </w:style>
  <w:style w:type="paragraph" w:styleId="778">
    <w:name w:val="Footer"/>
    <w:basedOn w:val="732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basedOn w:val="742"/>
    <w:uiPriority w:val="99"/>
  </w:style>
  <w:style w:type="paragraph" w:styleId="780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Нижний колонтитул Знак"/>
    <w:link w:val="778"/>
    <w:uiPriority w:val="99"/>
  </w:style>
  <w:style w:type="table" w:styleId="782">
    <w:name w:val="Table Grid"/>
    <w:basedOn w:val="7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3" w:customStyle="1">
    <w:name w:val="Table Grid Light"/>
    <w:basedOn w:val="743"/>
    <w:uiPriority w:val="59"/>
    <w:pPr>
      <w:spacing w:after="0" w:line="240" w:lineRule="auto"/>
    </w:pPr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</w:style>
  <w:style w:type="table" w:styleId="784">
    <w:name w:val="Plain Table 1"/>
    <w:basedOn w:val="743"/>
    <w:uiPriority w:val="59"/>
    <w:pPr>
      <w:spacing w:after="0" w:line="240" w:lineRule="auto"/>
    </w:pPr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74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812" w:customStyle="1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3" w:customStyle="1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4" w:customStyle="1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5" w:customStyle="1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825" w:customStyle="1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826" w:customStyle="1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827" w:customStyle="1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828" w:customStyle="1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829" w:customStyle="1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830" w:customStyle="1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831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text1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text1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1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1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2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2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3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3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4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4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5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5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6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6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852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74" w:customStyle="1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76" w:customStyle="1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77" w:customStyle="1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78" w:customStyle="1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79" w:customStyle="1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80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text1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text1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2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2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3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3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4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4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5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5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FFFF" w:themeColor="accent6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0" w:space="0"/>
          <w:left w:val="single" w:color="FFFFFF" w:themeColor="accent6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88" w:customStyle="1">
    <w:name w:val="Lined - Accent 1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89" w:customStyle="1">
    <w:name w:val="Lined - Accent 2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90" w:customStyle="1">
    <w:name w:val="Lined - Accent 3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91" w:customStyle="1">
    <w:name w:val="Lined - Accent 4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92" w:customStyle="1">
    <w:name w:val="Lined - Accent 5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95" w:customStyle="1">
    <w:name w:val="Bordered &amp; Lined - Accent 1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96" w:customStyle="1">
    <w:name w:val="Bordered &amp; Lined - Accent 2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97" w:customStyle="1">
    <w:name w:val="Bordered &amp; Lined - Accent 3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98" w:customStyle="1">
    <w:name w:val="Bordered &amp; Lined - Accent 4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99" w:customStyle="1">
    <w:name w:val="Bordered &amp; Lined - Accent 5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basedOn w:val="74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902" w:customStyle="1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904" w:customStyle="1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905" w:customStyle="1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906" w:customStyle="1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907" w:customStyle="1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32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42"/>
    <w:uiPriority w:val="99"/>
    <w:unhideWhenUsed/>
    <w:rPr>
      <w:vertAlign w:val="superscript"/>
    </w:rPr>
  </w:style>
  <w:style w:type="paragraph" w:styleId="912">
    <w:name w:val="endnote text"/>
    <w:basedOn w:val="732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42"/>
    <w:uiPriority w:val="99"/>
    <w:semiHidden/>
    <w:unhideWhenUsed/>
    <w:rPr>
      <w:vertAlign w:val="superscript"/>
    </w:rPr>
  </w:style>
  <w:style w:type="paragraph" w:styleId="915">
    <w:name w:val="toc 1"/>
    <w:basedOn w:val="732"/>
    <w:next w:val="732"/>
    <w:uiPriority w:val="39"/>
    <w:unhideWhenUsed/>
    <w:pPr>
      <w:spacing w:after="57"/>
    </w:pPr>
  </w:style>
  <w:style w:type="paragraph" w:styleId="916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17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18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19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20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21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22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23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2"/>
    <w:next w:val="732"/>
    <w:uiPriority w:val="99"/>
    <w:unhideWhenUsed/>
    <w:pPr>
      <w:spacing w:after="0"/>
    </w:pPr>
  </w:style>
  <w:style w:type="table" w:styleId="92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7">
    <w:name w:val="Subtitle"/>
    <w:basedOn w:val="732"/>
    <w:next w:val="732"/>
    <w:link w:val="77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28" w:customStyle="1">
    <w:name w:val="StGen0"/>
    <w:basedOn w:val="926"/>
    <w:tblPr>
      <w:tblStyleRowBandSize w:val="1"/>
      <w:tblStyleColBandSize w:val="1"/>
    </w:tblPr>
  </w:style>
  <w:style w:type="paragraph" w:styleId="929">
    <w:name w:val="List Paragraph"/>
    <w:basedOn w:val="732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lang w:eastAsia="en-US"/>
    </w:rPr>
  </w:style>
  <w:style w:type="character" w:styleId="930" w:customStyle="1">
    <w:name w:val="Выделенная цитата Знак"/>
    <w:link w:val="775"/>
    <w:uiPriority w:val="30"/>
    <w:rPr>
      <w:i/>
    </w:rPr>
  </w:style>
  <w:style w:type="table" w:styleId="931" w:customStyle="1">
    <w:name w:val="StGen0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table" w:styleId="932" w:customStyle="1">
    <w:name w:val="StGen01"/>
    <w:basedOn w:val="926"/>
    <w:tblPr>
      <w:tblStyleRowBandSize w:val="1"/>
      <w:tblStyleColBandSize w:val="1"/>
    </w:tblPr>
  </w:style>
  <w:style w:type="table" w:styleId="933" w:customStyle="1">
    <w:name w:val="StGen02"/>
    <w:basedOn w:val="926"/>
    <w:tblPr>
      <w:tblStyleRowBandSize w:val="1"/>
      <w:tblStyleColBandSize w:val="1"/>
    </w:tblPr>
  </w:style>
  <w:style w:type="character" w:styleId="934" w:customStyle="1">
    <w:name w:val="Heading 4 Char"/>
    <w:basedOn w:val="742"/>
    <w:uiPriority w:val="9"/>
    <w:rPr>
      <w:rFonts w:ascii="Arial" w:hAnsi="Arial" w:eastAsia="Arial" w:cs="Arial"/>
      <w:b/>
      <w:bCs/>
      <w:sz w:val="26"/>
      <w:szCs w:val="26"/>
    </w:rPr>
  </w:style>
  <w:style w:type="table" w:styleId="935" w:customStyle="1">
    <w:name w:val="StGen03"/>
    <w:basedOn w:val="926"/>
    <w:tblPr>
      <w:tblStyleRowBandSize w:val="1"/>
      <w:tblStyleColBandSize w:val="1"/>
    </w:tblPr>
  </w:style>
  <w:style w:type="character" w:styleId="936" w:customStyle="1">
    <w:name w:val="Заголовок 4 Знак"/>
    <w:basedOn w:val="742"/>
    <w:link w:val="736"/>
    <w:rPr>
      <w:b/>
      <w:sz w:val="24"/>
      <w:szCs w:val="24"/>
    </w:rPr>
  </w:style>
  <w:style w:type="table" w:styleId="937" w:customStyle="1">
    <w:name w:val="StGen04"/>
    <w:basedOn w:val="926"/>
    <w:tblPr>
      <w:tblStyleRowBandSize w:val="1"/>
      <w:tblStyleColBandSize w:val="1"/>
    </w:tblPr>
  </w:style>
  <w:style w:type="paragraph" w:styleId="938" w:customStyle="1">
    <w:name w:val="LO-normal"/>
    <w:qFormat/>
  </w:style>
  <w:style w:type="paragraph" w:styleId="939">
    <w:name w:val="Balloon Text"/>
    <w:basedOn w:val="732"/>
    <w:link w:val="9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0" w:customStyle="1">
    <w:name w:val="Текст выноски Знак"/>
    <w:basedOn w:val="742"/>
    <w:link w:val="939"/>
    <w:uiPriority w:val="99"/>
    <w:semiHidden/>
    <w:rPr>
      <w:rFonts w:ascii="Segoe UI" w:hAnsi="Segoe UI" w:cs="Segoe UI"/>
      <w:sz w:val="18"/>
      <w:szCs w:val="18"/>
    </w:rPr>
  </w:style>
  <w:style w:type="table" w:styleId="941" w:customStyle="1">
    <w:name w:val="StGen0"/>
    <w:basedOn w:val="926"/>
    <w:tblPr>
      <w:tblStyleRowBandSize w:val="1"/>
      <w:tblStyleColBandSize w:val="1"/>
    </w:tblPr>
  </w:style>
  <w:style w:type="table" w:styleId="942" w:customStyle="1">
    <w:name w:val="StGen1"/>
    <w:basedOn w:val="926"/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43" w:customStyle="1">
    <w:name w:val="StGen2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44" w:customStyle="1">
    <w:name w:val="StGen3"/>
    <w:basedOn w:val="926"/>
    <w:tblPr>
      <w:tblStyleRowBandSize w:val="1"/>
      <w:tblStyleColBandSize w:val="1"/>
    </w:tblPr>
  </w:style>
  <w:style w:type="table" w:styleId="945" w:customStyle="1">
    <w:name w:val="StGen4"/>
    <w:basedOn w:val="926"/>
    <w:tblPr>
      <w:tblStyleRowBandSize w:val="1"/>
      <w:tblStyleColBandSize w:val="1"/>
    </w:tblPr>
  </w:style>
  <w:style w:type="table" w:styleId="946" w:customStyle="1">
    <w:name w:val="StGen5"/>
    <w:basedOn w:val="926"/>
    <w:tblPr>
      <w:tblStyleRowBandSize w:val="1"/>
      <w:tblStyleColBandSize w:val="1"/>
    </w:tblPr>
  </w:style>
  <w:style w:type="table" w:styleId="947" w:customStyle="1">
    <w:name w:val="StGen6"/>
    <w:basedOn w:val="926"/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48" w:customStyle="1">
    <w:name w:val="StGen7"/>
    <w:basedOn w:val="926"/>
    <w:tblPr>
      <w:tblStyleRowBandSize w:val="1"/>
      <w:tblStyleColBandSize w:val="1"/>
    </w:tblPr>
  </w:style>
  <w:style w:type="table" w:styleId="949" w:customStyle="1">
    <w:name w:val="StGen8"/>
    <w:basedOn w:val="926"/>
    <w:tblPr>
      <w:tblStyleRowBandSize w:val="1"/>
      <w:tblStyleColBandSize w:val="1"/>
    </w:tblPr>
  </w:style>
  <w:style w:type="table" w:styleId="950" w:customStyle="1">
    <w:name w:val="StGen9"/>
    <w:basedOn w:val="926"/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51" w:customStyle="1">
    <w:name w:val="StGen10"/>
    <w:basedOn w:val="926"/>
    <w:tblPr>
      <w:tblStyleRowBandSize w:val="1"/>
      <w:tblStyleColBandSize w:val="1"/>
    </w:tblPr>
  </w:style>
  <w:style w:type="table" w:styleId="952" w:customStyle="1">
    <w:name w:val="StGen11"/>
    <w:basedOn w:val="926"/>
    <w:tblPr>
      <w:tblStyleRowBandSize w:val="1"/>
      <w:tblStyleColBandSize w:val="1"/>
    </w:tblPr>
  </w:style>
  <w:style w:type="paragraph" w:styleId="953">
    <w:name w:val="Subtitle"/>
    <w:basedOn w:val="724"/>
    <w:next w:val="724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54">
    <w:name w:val="StGen0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55">
    <w:name w:val="StGen1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56">
    <w:name w:val="StGen2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57">
    <w:name w:val="StGen3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58">
    <w:name w:val="StGen4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59">
    <w:name w:val="StGen5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60">
    <w:name w:val="StGen6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61">
    <w:name w:val="StGen7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62">
    <w:name w:val="StGen8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63">
    <w:name w:val="StGen9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64">
    <w:name w:val="StGen10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  <w:style w:type="table" w:styleId="965">
    <w:name w:val="StGen11"/>
    <w:basedOn w:val="92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45" w:type="dxa"/>
        <w:top w:w="30" w:type="dxa"/>
        <w:right w:w="45" w:type="dxa"/>
        <w:bottom w:w="3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events.myrosmol.ru/forums/mezhdunarodnyy-forum-myvmeste-202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1OoxNeyRVjAR5WfZIvxZmKNzQ==">CgMxLjAaJQoBMBIgCh4IB0IaCg9UaW1lcyBOZXcgUm9tYW4SB0d1bmdzdWgaJQoBMRIgCh4IB0IaCg9UaW1lcyBOZXcgUm9tYW4SB0d1bmdzdWgyCWguMWZvYjl0ZTIIaC5namRneHMyCWguMzBqMHpsbDgAciExbHVNQkF3VVdLM0Z4bElOV01oZTJOa1p3SEp4X29aZG0=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revision>2</cp:revision>
  <dcterms:created xsi:type="dcterms:W3CDTF">2024-12-27T09:42:00Z</dcterms:created>
  <dcterms:modified xsi:type="dcterms:W3CDTF">2025-01-21T07:51:01Z</dcterms:modified>
</cp:coreProperties>
</file>