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-1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редоставление в безвозмездное пользование имущества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муниципальной казны </w:t>
      </w:r>
      <w:r>
        <w:rPr>
          <w:rFonts w:ascii="Times New Roman" w:hAnsi="Times New Roman"/>
          <w:bCs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sz w:val="28"/>
          <w:szCs w:val="28"/>
          <w:lang w:eastAsia="ar-SA"/>
        </w:rPr>
        <w:t xml:space="preserve">без проведения торгов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45</cp:revision>
  <dcterms:created xsi:type="dcterms:W3CDTF">2019-04-01T05:51:00Z</dcterms:created>
  <dcterms:modified xsi:type="dcterms:W3CDTF">2025-05-21T08:14:23Z</dcterms:modified>
  <cp:version>786432</cp:version>
</cp:coreProperties>
</file>