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jc w:val="center"/>
        <w:widowControl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МАСЛЯНИНСКОГО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ОКРУГА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jc w:val="center"/>
        <w:widowControl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НОВОСИБИРСКОЙ ОБЛАСТИ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96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96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№ ______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87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left"/>
        <w:rPr>
          <w:b/>
        </w:rPr>
      </w:pPr>
      <w:r>
        <w:rPr>
          <w:rFonts w:eastAsiaTheme="minorEastAsia"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b/>
        </w:rPr>
      </w:r>
    </w:p>
    <w:p>
      <w:pPr>
        <w:pStyle w:val="687"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Федерации", Постановлением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>
        <w:rPr>
          <w:sz w:val="28"/>
          <w:szCs w:val="28"/>
        </w:rPr>
        <w:t xml:space="preserve"> администрация Маслянинского муниципального округа Новосибирской области</w:t>
      </w:r>
      <w:r>
        <w:rPr>
          <w:sz w:val="28"/>
          <w:szCs w:val="28"/>
        </w:rPr>
      </w:r>
    </w:p>
    <w:p>
      <w:pPr>
        <w:pStyle w:val="68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86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</w:t>
      </w:r>
      <w:r>
        <w:rPr>
          <w:rFonts w:ascii="Times New Roman" w:hAnsi="Times New Roman" w:cs="Times New Roman"/>
          <w:sz w:val="28"/>
          <w:szCs w:val="28"/>
        </w:rPr>
        <w:t xml:space="preserve">или реконструкции» (приложение)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6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5"/>
        </w:numPr>
        <w:ind w:left="0" w:firstLine="709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Маслянинского муниципального округа Новосибирской области </w:t>
      </w:r>
      <w:r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А.С. Быстрова.</w:t>
      </w:r>
      <w:r>
        <w:rPr>
          <w:sz w:val="28"/>
          <w:szCs w:val="28"/>
        </w:rPr>
      </w:r>
    </w:p>
    <w:p>
      <w:pPr>
        <w:pStyle w:val="6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                                         В.В. Ярманов</w:t>
      </w:r>
      <w:r/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94"/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Быстров А.С. 21768</w:t>
      </w:r>
      <w:r>
        <w:rPr>
          <w:rFonts w:ascii="Times New Roman" w:hAnsi="Times New Roman" w:cs="Times New Roman"/>
        </w:rPr>
      </w:r>
    </w:p>
    <w:p>
      <w:pPr>
        <w:pStyle w:val="694"/>
        <w:ind w:firstLine="0"/>
        <w:widowControl/>
      </w:pPr>
      <w:r>
        <w:rPr>
          <w:rFonts w:ascii="Times New Roman" w:hAnsi="Times New Roman" w:cs="Times New Roman"/>
        </w:rPr>
        <w:t xml:space="preserve">Логвис А.Н. 22982</w:t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г. №_____-па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b/>
          <w:sz w:val="28"/>
          <w:szCs w:val="40"/>
        </w:rPr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</w:r>
      <w:r>
        <w:rPr>
          <w:rFonts w:ascii="Times New Roman" w:hAnsi="Times New Roman" w:cs="Times New Roman"/>
          <w:b/>
          <w:sz w:val="28"/>
          <w:szCs w:val="40"/>
        </w:rPr>
      </w:r>
    </w:p>
    <w:p>
      <w:pPr>
        <w:pStyle w:val="68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 услуги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Признание помещения жилым помещ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ением, жилого помещения непригодным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  <w:t xml:space="preserve"> разработ</w:t>
      </w:r>
      <w:r>
        <w:rPr>
          <w:rFonts w:ascii="Times New Roman" w:hAnsi="Times New Roman" w:eastAsia="Times New Roman"/>
          <w:sz w:val="28"/>
          <w:szCs w:val="28"/>
        </w:rPr>
        <w:t xml:space="preserve">ан в целях повышения качества и</w:t>
      </w:r>
      <w:r>
        <w:rPr>
          <w:rFonts w:ascii="Times New Roman" w:hAnsi="Times New Roman" w:eastAsia="Times New Roman"/>
          <w:sz w:val="28"/>
          <w:szCs w:val="28"/>
        </w:rPr>
        <w:t xml:space="preserve"> доступности предоставления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признанию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помещения жилым помещ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ением, жилого помещения непригодным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Административный регламент регулирует отношения, возник</w:t>
      </w:r>
      <w:r>
        <w:rPr>
          <w:rFonts w:ascii="Times New Roman" w:hAnsi="Times New Roman" w:eastAsia="Times New Roman"/>
          <w:sz w:val="28"/>
          <w:szCs w:val="28"/>
        </w:rPr>
        <w:t xml:space="preserve">ающие при оказании следующих </w:t>
      </w:r>
      <w:r>
        <w:rPr>
          <w:rFonts w:ascii="Times New Roman" w:hAnsi="Times New Roman" w:eastAsia="Times New Roman"/>
          <w:sz w:val="28"/>
          <w:szCs w:val="28"/>
        </w:rPr>
        <w:t xml:space="preserve">услуг: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</w:t>
      </w:r>
      <w:r>
        <w:rPr>
          <w:rFonts w:ascii="Times New Roman" w:hAnsi="Times New Roman" w:eastAsia="Times New Roman"/>
          <w:sz w:val="28"/>
          <w:szCs w:val="28"/>
        </w:rPr>
        <w:t xml:space="preserve">ризнания </w:t>
      </w:r>
      <w:r>
        <w:rPr>
          <w:rFonts w:ascii="Times New Roman" w:hAnsi="Times New Roman" w:eastAsia="Times New Roman"/>
          <w:sz w:val="28"/>
          <w:szCs w:val="28"/>
        </w:rPr>
        <w:t xml:space="preserve">помещения жилым помещением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</w:t>
      </w:r>
      <w:r>
        <w:rPr>
          <w:rFonts w:ascii="Times New Roman" w:hAnsi="Times New Roman" w:eastAsia="Times New Roman"/>
          <w:sz w:val="28"/>
          <w:szCs w:val="28"/>
        </w:rPr>
        <w:t xml:space="preserve">ризнания </w:t>
      </w:r>
      <w:r>
        <w:rPr>
          <w:rFonts w:ascii="Times New Roman" w:hAnsi="Times New Roman" w:eastAsia="Times New Roman"/>
          <w:sz w:val="28"/>
          <w:szCs w:val="28"/>
        </w:rPr>
        <w:t xml:space="preserve">жилого помещения непригодным для проживания;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</w:t>
      </w:r>
      <w:r>
        <w:rPr>
          <w:rFonts w:ascii="Times New Roman" w:hAnsi="Times New Roman" w:eastAsia="Times New Roman"/>
          <w:sz w:val="28"/>
          <w:szCs w:val="28"/>
        </w:rPr>
        <w:t xml:space="preserve">ризнания многоквартирного дома аварийным и подлежащим сносу или реконструкции.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являющиеся собственниками</w:t>
      </w:r>
      <w:r>
        <w:rPr>
          <w:rFonts w:ascii="Times New Roman" w:hAnsi="Times New Roman" w:eastAsia="Times New Roman"/>
          <w:sz w:val="28"/>
          <w:szCs w:val="28"/>
        </w:rPr>
        <w:t xml:space="preserve">, правообладателями или нанимателями жилых помещений</w:t>
      </w:r>
      <w:r>
        <w:rPr>
          <w:rFonts w:ascii="Times New Roman" w:hAnsi="Times New Roman" w:eastAsia="Times New Roman"/>
          <w:sz w:val="28"/>
          <w:szCs w:val="28"/>
        </w:rPr>
        <w:t xml:space="preserve">, расп</w:t>
      </w:r>
      <w:r>
        <w:rPr>
          <w:rFonts w:ascii="Times New Roman" w:hAnsi="Times New Roman" w:eastAsia="Times New Roman"/>
          <w:sz w:val="28"/>
          <w:szCs w:val="28"/>
        </w:rPr>
        <w:t xml:space="preserve">оложенных</w:t>
      </w:r>
      <w:r>
        <w:rPr>
          <w:rFonts w:ascii="Times New Roman" w:hAnsi="Times New Roman" w:eastAsia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</w:t>
      </w:r>
      <w:r>
        <w:rPr>
          <w:rFonts w:ascii="Times New Roman" w:hAnsi="Times New Roman" w:eastAsia="Times New Roman"/>
          <w:sz w:val="28"/>
          <w:szCs w:val="28"/>
        </w:rPr>
        <w:t xml:space="preserve"> (далее – Заявитель).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1.4. Информирование о порядке предоставления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 осуществляется: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(далее - Администрация) по адресу: Новосибирская область, Маслянинский район, р.п. Маслянино, ул.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Коммунистическая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eastAsia="Times New Roman"/>
          <w:sz w:val="28"/>
          <w:szCs w:val="28"/>
        </w:rPr>
        <w:t xml:space="preserve"> многофункциональном центре </w:t>
      </w:r>
      <w:r>
        <w:rPr>
          <w:rFonts w:ascii="Times New Roman" w:hAnsi="Times New Roman" w:eastAsia="Times New Roman"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 по телефону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8(383)472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2982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или многофункциональном центре;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 письменно, в том числе посредством электронной почты, факсимильной связи;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посредством размещения в открытой и доступной форме информации: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eastAsia="Times New Roman"/>
          <w:bCs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(https://www.gosuslugi.ru/) (далее – ЕПГУ, Единый портал);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://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maslyanino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nso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i/>
          <w:iCs/>
          <w:color w:val="ff0000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или многофункционального центра.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1.5. Информирование осуществляется по вопросам, касающимся: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способов подачи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уведомления о признании садового дома жилым домом или жилого дома садовым домом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адресов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документов, необходимых для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и сроков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получения сведений о ходе рассмотрения уведомления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eastAsia="Times New Roman"/>
          <w:sz w:val="28"/>
          <w:szCs w:val="28"/>
        </w:rPr>
        <w:t xml:space="preserve"> и о результатах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не может самостоятельно дать ответ, телефонный звонок</w:t>
      </w:r>
      <w:r>
        <w:rPr>
          <w:rFonts w:ascii="Times New Roman" w:hAnsi="Times New Roman" w:eastAsia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изложить обращение в письменной форме;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назначить другое время для консультаций.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Продолжительность информирования по телефону не должна превышать 10 минут.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Информирование осуществляется в соответствии с графиком приема граждан.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1.7. По письменному обращению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Администрации, ответственное</w:t>
      </w:r>
      <w:r>
        <w:rPr>
          <w:rFonts w:ascii="Times New Roman" w:hAnsi="Times New Roman" w:eastAsia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tooltip="#Par84" w:anchor="Par84" w:history="1">
        <w:r>
          <w:rPr>
            <w:rFonts w:ascii="Times New Roman" w:hAnsi="Times New Roman" w:eastAsia="Times New Roman"/>
            <w:sz w:val="28"/>
            <w:szCs w:val="28"/>
          </w:rPr>
          <w:t xml:space="preserve">пункте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</w:t>
      </w:r>
      <w:r>
        <w:rPr>
          <w:rFonts w:ascii="Times New Roman" w:hAnsi="Times New Roman" w:eastAsia="Times New Roman"/>
          <w:sz w:val="28"/>
          <w:szCs w:val="28"/>
        </w:rPr>
        <w:t xml:space="preserve">коном от 2 мая 2006 г. № 59-ФЗ «</w:t>
      </w:r>
      <w:r>
        <w:rPr>
          <w:rFonts w:ascii="Times New Roman" w:hAnsi="Times New Roman" w:eastAsia="Times New Roman"/>
          <w:sz w:val="28"/>
          <w:szCs w:val="28"/>
        </w:rPr>
        <w:t xml:space="preserve">О порядке рассмотрения обращений</w:t>
      </w:r>
      <w:r>
        <w:rPr>
          <w:rFonts w:ascii="Times New Roman" w:hAnsi="Times New Roman" w:eastAsia="Times New Roman"/>
          <w:sz w:val="28"/>
          <w:szCs w:val="28"/>
        </w:rPr>
        <w:t xml:space="preserve"> граждан Российской Федерации»</w:t>
      </w:r>
      <w:r>
        <w:rPr>
          <w:rFonts w:ascii="Times New Roman" w:hAnsi="Times New Roman" w:eastAsia="Times New Roman"/>
          <w:sz w:val="28"/>
          <w:szCs w:val="28"/>
        </w:rPr>
        <w:t xml:space="preserve"> (далее – Федеральный закон № 59-ФЗ).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</w:t>
      </w:r>
      <w:r>
        <w:rPr>
          <w:rFonts w:ascii="Times New Roman" w:hAnsi="Times New Roman" w:eastAsia="Times New Roman"/>
          <w:sz w:val="28"/>
          <w:szCs w:val="28"/>
        </w:rPr>
        <w:t xml:space="preserve">твенной информационной системе «</w:t>
      </w:r>
      <w:r>
        <w:rPr>
          <w:rFonts w:ascii="Times New Roman" w:hAnsi="Times New Roman" w:eastAsia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eastAsia="Times New Roman"/>
          <w:sz w:val="28"/>
          <w:szCs w:val="28"/>
        </w:rPr>
        <w:t xml:space="preserve">и муниципальных услуг (функций)»</w:t>
      </w:r>
      <w:r>
        <w:rPr>
          <w:rFonts w:ascii="Times New Roman" w:hAnsi="Times New Roman" w:eastAsia="Times New Roman"/>
          <w:sz w:val="28"/>
          <w:szCs w:val="28"/>
        </w:rPr>
        <w:t xml:space="preserve">, утвержденным постановлением Правительства Российской Федерации от 24 октября 2011 года № 861.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</w:t>
      </w:r>
      <w:r>
        <w:rPr>
          <w:rFonts w:ascii="Times New Roman" w:hAnsi="Times New Roman" w:eastAsia="Times New Roman"/>
          <w:sz w:val="28"/>
          <w:szCs w:val="28"/>
        </w:rPr>
        <w:t xml:space="preserve">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ascii="Times New Roman" w:hAnsi="Times New Roman" w:eastAsia="Times New Roman"/>
          <w:sz w:val="28"/>
          <w:szCs w:val="28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</w:rPr>
        <w:t xml:space="preserve"> или предоставление им персональных данных.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1.9. На официальном сайте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на стендах в местах предоставления муниципальной услуги и в многофункциональном центре размещается следующая справочная информация: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 их </w:t>
      </w:r>
      <w:r>
        <w:rPr>
          <w:rFonts w:ascii="Times New Roman" w:hAnsi="Times New Roman" w:eastAsia="Times New Roman"/>
          <w:sz w:val="28"/>
          <w:szCs w:val="28"/>
        </w:rPr>
        <w:t xml:space="preserve">должностных лицах</w:t>
      </w:r>
      <w:r>
        <w:rPr>
          <w:rFonts w:ascii="Times New Roman" w:hAnsi="Times New Roman" w:eastAsia="Times New Roman"/>
          <w:sz w:val="28"/>
          <w:szCs w:val="28"/>
        </w:rPr>
        <w:t xml:space="preserve">, ответственных за предоставление муниципальной услуги, а также многофункциональных центров;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eastAsia="Times New Roman"/>
          <w:sz w:val="28"/>
          <w:szCs w:val="28"/>
        </w:rPr>
        <w:t xml:space="preserve">должностных лиц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ответственных за предоставление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услуги, в том числе номер телефона-автоинформатора (при наличии);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в сети «Интернет».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1.10. В </w:t>
      </w:r>
      <w:r>
        <w:rPr>
          <w:rFonts w:ascii="Times New Roman" w:hAnsi="Times New Roman" w:eastAsia="Times New Roman"/>
          <w:sz w:val="28"/>
          <w:szCs w:val="28"/>
        </w:rPr>
        <w:t xml:space="preserve">местах</w:t>
      </w:r>
      <w:r>
        <w:rPr>
          <w:rFonts w:ascii="Times New Roman" w:hAnsi="Times New Roman" w:eastAsia="Times New Roman"/>
          <w:sz w:val="28"/>
          <w:szCs w:val="28"/>
        </w:rPr>
        <w:t xml:space="preserve"> ожидания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1.12. Информация о ходе рассмотрения </w:t>
      </w:r>
      <w:r>
        <w:rPr>
          <w:rFonts w:ascii="Times New Roman" w:hAnsi="Times New Roman" w:eastAsia="Times New Roman"/>
          <w:sz w:val="28"/>
        </w:rPr>
        <w:t xml:space="preserve">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sz w:val="28"/>
        </w:rPr>
        <w:t xml:space="preserve"> может быть получена заявителем (его представителем) в личном кабинете на </w:t>
      </w:r>
      <w:r>
        <w:rPr>
          <w:rFonts w:ascii="Times New Roman" w:hAnsi="Times New Roman" w:eastAsia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/>
          <w:sz w:val="28"/>
        </w:rPr>
        <w:t xml:space="preserve">, </w:t>
      </w:r>
      <w:bookmarkStart w:id="1" w:name="_Hlk79013065"/>
      <w:r>
        <w:rPr>
          <w:rFonts w:ascii="Times New Roman" w:hAnsi="Times New Roman" w:eastAsia="Times New Roman"/>
          <w:sz w:val="28"/>
        </w:rPr>
        <w:t xml:space="preserve">региональном портале, </w:t>
      </w:r>
      <w:bookmarkEnd w:id="1"/>
      <w:r>
        <w:rPr>
          <w:rFonts w:ascii="Times New Roman" w:hAnsi="Times New Roman" w:eastAsia="Times New Roman"/>
          <w:sz w:val="28"/>
        </w:rPr>
        <w:t xml:space="preserve">а также в </w:t>
      </w:r>
      <w:r>
        <w:rPr>
          <w:rFonts w:ascii="Times New Roman" w:hAnsi="Times New Roman" w:eastAsia="Times New Roman"/>
          <w:sz w:val="28"/>
        </w:rPr>
        <w:t xml:space="preserve">Администрации</w:t>
      </w:r>
      <w:r>
        <w:rPr>
          <w:rFonts w:ascii="Times New Roman" w:hAnsi="Times New Roman" w:eastAsia="Times New Roman"/>
          <w:sz w:val="28"/>
        </w:rPr>
        <w:t xml:space="preserve"> при обращении заявителя лично, по телефону посредством электронной почты. </w:t>
      </w:r>
      <w:r>
        <w:rPr>
          <w:rFonts w:ascii="Times New Roman" w:hAnsi="Times New Roman" w:eastAsia="Times New Roman"/>
          <w:sz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услуги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2.1. Наиме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нование муниципальной услуги –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Признание помещения жилым помещением, жилого помещения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непригодным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услуга предоставляется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в лице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и при участии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2.2. 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Заявитель направляет заявление о предоставлении муниципальной услуги с приложенным к нему полным комплектом документов в Комиссию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2.3. Правовые основания для предоставления услуги: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Градостроительный кодекс Российской Федерации;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Земельный кодекс Российской Федерации;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Жилищный кодекс Российской Федерации;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от 06.10.2003 № 131-ФЗ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общих принципах организации местного самоуп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равления в Российской Федерации»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 xml:space="preserve">27.07.2010 N 210-ФЗ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организации предоставления госуда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от 25.06.2002 № 76-ФЗ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объектах культурного наследия (памятниках истории и культур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ы) народов Российской Федерации»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27.07.2006 № 152-ФЗ «О персональных данных»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Федераци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 от 22 декабря 2012 г. № 1376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государстве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нных </w:t>
      </w:r>
      <w:r>
        <w:rPr>
          <w:rFonts w:ascii="Times New Roman" w:hAnsi="Times New Roman" w:eastAsia="Times New Roman"/>
          <w:bCs/>
          <w:sz w:val="28"/>
          <w:szCs w:val="28"/>
        </w:rPr>
        <w:br/>
        <w:t xml:space="preserve">и муниципальных услуг»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Федераци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 от 27 сентября 2011 г. № 797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>
        <w:rPr>
          <w:rFonts w:ascii="Times New Roman" w:hAnsi="Times New Roman" w:eastAsia="Times New Roman"/>
          <w:bCs/>
          <w:sz w:val="28"/>
          <w:szCs w:val="28"/>
        </w:rPr>
        <w:br/>
      </w:r>
      <w:r>
        <w:rPr>
          <w:rFonts w:ascii="Times New Roman" w:hAnsi="Times New Roman" w:eastAsia="Times New Roman"/>
          <w:bCs/>
          <w:sz w:val="28"/>
          <w:szCs w:val="28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рганами местного самоуправления»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ации от 25 января 2013 г. № 33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использовании простой электронной подписи при оказании госуда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ации от 18 марта 2015 г. № 250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>
        <w:rPr>
          <w:rFonts w:ascii="Times New Roman" w:hAnsi="Times New Roman" w:eastAsia="Times New Roman"/>
          <w:bCs/>
          <w:sz w:val="28"/>
          <w:szCs w:val="28"/>
        </w:rPr>
        <w:br/>
        <w:t xml:space="preserve">и к выдаче заявителям на основании информации из информационных систем органов, предоставляющих государственные ус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ации от 26 марта 2016 г. № 236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требованиях к предоставлению в электронной форме госуда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постановление Правительства Российской Федер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ации от 28 января 2006 г. № 47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утверждении Положения уведомления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мом и жилого дома садовым домом»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Положение).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</w:t>
      </w:r>
      <w:hyperlink r:id="rId10" w:tooltip="http://internet.garant.ru/document/redirect/7190001/933997025" w:history="1">
        <w:r>
          <w:rPr>
            <w:rFonts w:ascii="Times New Roman" w:hAnsi="Times New Roman" w:eastAsia="Times New Roman" w:cs="Times New Roman"/>
            <w:bCs/>
            <w:iCs/>
            <w:sz w:val="28"/>
            <w:szCs w:val="28"/>
          </w:rPr>
          <w:t xml:space="preserve">системе</w:t>
        </w:r>
      </w:hyperlink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 "Федеральный реестр государственных и муниципальных услуг (функций)" на </w:t>
      </w:r>
      <w:hyperlink r:id="rId11" w:tooltip="http://internet.garant.ru/document/redirect/7190001/754" w:history="1">
        <w:r>
          <w:rPr>
            <w:rFonts w:ascii="Times New Roman" w:hAnsi="Times New Roman" w:eastAsia="Times New Roman" w:cs="Times New Roman"/>
            <w:bCs/>
            <w:iCs/>
            <w:sz w:val="28"/>
            <w:szCs w:val="28"/>
          </w:rPr>
          <w:t xml:space="preserve">Едином портале</w:t>
        </w:r>
      </w:hyperlink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 и на </w:t>
      </w:r>
      <w:hyperlink r:id="rId12" w:tooltip="http://internet.garant.ru/document/redirect/7190001/2416" w:history="1">
        <w:r>
          <w:rPr>
            <w:rFonts w:ascii="Times New Roman" w:hAnsi="Times New Roman" w:eastAsia="Times New Roman" w:cs="Times New Roman"/>
            <w:bCs/>
            <w:iCs/>
            <w:sz w:val="28"/>
            <w:szCs w:val="28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 Администрации.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 xml:space="preserve">2.4. Заявитель или его представитель представляет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в Комиссию заявление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заявление), а также прилагаемые к нему документы,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указанные в пункте 2.8 настоящего Административного регламента, одним из следующих способов по выбору заявителя: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а) в электронной форме посредством федеральной государс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твенной информационной системы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eastAsia="Times New Roman"/>
          <w:bCs/>
          <w:sz w:val="28"/>
          <w:szCs w:val="28"/>
        </w:rPr>
        <w:br/>
      </w:r>
      <w:r>
        <w:rPr>
          <w:rFonts w:ascii="Times New Roman" w:hAnsi="Times New Roman" w:eastAsia="Times New Roman"/>
          <w:bCs/>
          <w:sz w:val="28"/>
          <w:szCs w:val="28"/>
        </w:rPr>
        <w:t xml:space="preserve">и муниципальных услуг (функций)»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случае направления заявления и прилагаемых к нему документов указанным способом заявитель (представи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б) на бумажном носителе посредством личного обращения 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Комиссию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взаимодействии межд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ого самоуправления»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либо посредством почтового отправления с уведомлением о вручении.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 от 22 декабря 2012 г. № 1376 «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утверждении Правил организации деятельности многофункциональных центров предоставления госуда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рственных и муниципальных услуг»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2.5. Документы, прилагаемые к заявлению, представляемые в электронной форме, направляются в следующих форматах: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в) xls, xlsx, ods - для документов, содержащих расчеты;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г)</w:t>
      </w:r>
      <w:r>
        <w:rPr>
          <w:rFonts w:ascii="Times New Roman" w:hAnsi="Times New Roman" w:eastAsia="Times New Roman"/>
          <w:sz w:val="28"/>
          <w:szCs w:val="28"/>
        </w:rPr>
        <w:t xml:space="preserve">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д) zip, rar – для сжатых документов в один файл;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е) sig – для открепленной усиленной квалифицированной электронной подписи.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2.6. В случае если оригиналы докуме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"черно-белый"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"оттенки серого"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"цветной" или "режим полной цветопередачи" (при наличии </w:t>
      </w:r>
      <w:r>
        <w:rPr>
          <w:rFonts w:ascii="Times New Roman" w:hAnsi="Times New Roman" w:eastAsia="Times New Roman"/>
          <w:bCs/>
          <w:sz w:val="28"/>
          <w:szCs w:val="28"/>
        </w:rPr>
        <w:br/>
        <w:t xml:space="preserve">в документе цветных графических изображений либо цветного текста).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2.7. 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2.8. Исчерпывающий перечень документов, необходимых для предоставления услуги, подлежащих представлению заявителем самостоятельно: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а) заявление о предоставлении 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по форме согласно, приложению № 1 к настоящему Административному регламенту (далее - заявление).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форме электронного документа в личном кабинете на ЕПГУ;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Комиссии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многофункциональном центре;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 бумажном носителе 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Комиссии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многофункциональном центре;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б) Документ, удостоверяющ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в) Документ, подтверждающий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rFonts w:ascii="Times New Roman" w:hAnsi="Times New Roman" w:eastAsia="Times New Roman"/>
          <w:bCs/>
          <w:sz w:val="28"/>
          <w:szCs w:val="28"/>
          <w:lang w:val="en-US"/>
        </w:rPr>
        <w:t xml:space="preserve">sig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3.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г)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4)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 </w:t>
      </w:r>
      <w:hyperlink r:id="rId13" w:tooltip="https://internet.garant.ru/#/document/12144695/entry/10442" w:anchor="/document/12144695/entry/10442" w:history="1">
        <w:r>
          <w:rPr>
            <w:rStyle w:val="697"/>
            <w:rFonts w:ascii="Times New Roman" w:hAnsi="Times New Roman" w:eastAsia="Times New Roman"/>
            <w:bCs/>
            <w:color w:val="auto"/>
            <w:sz w:val="28"/>
            <w:szCs w:val="28"/>
            <w:u w:val="none"/>
          </w:rPr>
          <w:t xml:space="preserve">абзацем третьим пункта 44</w:t>
        </w:r>
      </w:hyperlink>
      <w:r>
        <w:rPr>
          <w:rFonts w:ascii="Times New Roman" w:hAnsi="Times New Roman" w:eastAsia="Times New Roman"/>
          <w:bCs/>
          <w:sz w:val="28"/>
          <w:szCs w:val="28"/>
        </w:rPr>
        <w:t xml:space="preserve"> 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6) заявления, письма, жалобы граждан на неудовлетворительные условия проживания - по усмотрению заявителя;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7)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8)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 </w:t>
      </w:r>
      <w:hyperlink r:id="rId14" w:tooltip="https://internet.garant.ru/#/document/12148567/entry/0" w:anchor="/document/12148567/entry/0" w:history="1">
        <w:r>
          <w:rPr>
            <w:rStyle w:val="697"/>
            <w:rFonts w:ascii="Times New Roman" w:hAnsi="Times New Roman" w:eastAsia="Times New Roman"/>
            <w:bCs/>
            <w:color w:val="auto"/>
            <w:sz w:val="28"/>
            <w:szCs w:val="28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/>
          <w:bCs/>
          <w:sz w:val="28"/>
          <w:szCs w:val="28"/>
        </w:rPr>
        <w:t xml:space="preserve"> от 27.07.2006 N 152-ФЗ «О персональных данных» обработка таких персональных данных может осуществляться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Документы, подтверждающие получение согласия, могут быть представлены, в том числе, в форме электронного документа.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Действие данного подпункта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случае если заявителем выступает о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2.8 настоящего Административного регламента.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 запрашиваются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государств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сведения из Единого государственного реестра недвижимости;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технический паспорт жилого помещения, а для нежилых помещений - технический план;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5" w:tooltip="https://internet.garant.ru/#/document/12144695/entry/10442" w:anchor="/document/12144695/entry/10442" w:history="1">
        <w:r>
          <w:rPr>
            <w:rStyle w:val="697"/>
            <w:rFonts w:ascii="Times New Roman" w:hAnsi="Times New Roman" w:eastAsia="Times New Roman"/>
            <w:bCs/>
            <w:color w:val="auto"/>
            <w:sz w:val="28"/>
            <w:szCs w:val="28"/>
            <w:u w:val="none"/>
          </w:rPr>
          <w:t xml:space="preserve">абзацем третьим пункта 44</w:t>
        </w:r>
      </w:hyperlink>
      <w:r>
        <w:rPr>
          <w:rFonts w:ascii="Times New Roman" w:hAnsi="Times New Roman" w:eastAsia="Times New Roman"/>
          <w:bCs/>
          <w:sz w:val="28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2.10. Регистрация заявления, представленного в Комиссию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случае направления заявления в электронной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форме способом, указанным в подпункте «а» пункта 2.4 настоящего Административного регламента, вне рабочего времени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Комиссии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либо в выходной, нерабочий праздничный днем поступления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заявления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считается первый рабочий день, следующий за днем направления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заявления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2.11. Срок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услуги составляет не более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не более 30-ти дней со дня регистрации заявлени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2.11.1.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случае принятия Комиссией решения о проведении дополнительного обследования оцениваемого помещения срок предоставления муниципальной услуги продлевается, но не более чем на 30 дне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й.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2.11.2.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Срок принятия постановления Администраци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составляет 30 дней со дня принятия Комиссией решения (в виде заключения)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2.12. Исчерпывающий перечень оснований для приостановления предоставления услуги или отказа в предоставлении услуги.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2.12.1.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Основания для приостановления предоставления муниципальной услуги отсутствуют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2.12.2.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Заявителю отказывается в предоставлении муниципальной услуги, по следующим основаниям: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1)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непредставление заявителем документов, перечисленных в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пункте 2.8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 Административного регламента;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ответ на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и (или) информация не были представлены заявителем по собственной инициативе;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3)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заявитель, уведомленный надлежащим образом, дважды не предоставил доступ в помещение, указанное в заявлении, для проведения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дополнительного обследования (в случае принятия Комиссией решения о необходимости проведения такого обследования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2.13. 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Отказ в предоставлении муниципальной услуги,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по основаниям, предусмотренным пунктом 2.12.2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Административного регламента, не препятствует повторной подаче документов после устранения обстоятельств, явившихся основанием для отказа в ее предоставлении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2.14.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Оснований для отказа заявителю в приеме документов, необходимых для предоставления муниципальной услуги, не установ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лено.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2.15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Результатом осуществления 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униципальной услуги является принятие решения: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 соответствии помещения требованиям, предъявляемым к жилому помещению, и его пригодности для проживания;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 выявлении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оснований для призна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 </w:t>
      </w:r>
      <w:hyperlink r:id="rId16" w:tooltip="https://internet.garant.ru/#/document/12144695/entry/1000" w:anchor="/document/12144695/entry/1000" w:history="1">
        <w:r>
          <w:rPr>
            <w:rStyle w:val="697"/>
            <w:rFonts w:ascii="Times New Roman" w:hAnsi="Times New Roman" w:eastAsia="Times New Roman"/>
            <w:bCs/>
            <w:color w:val="auto"/>
            <w:sz w:val="28"/>
            <w:szCs w:val="28"/>
            <w:u w:val="none"/>
          </w:rPr>
          <w:t xml:space="preserve">Положении</w:t>
        </w:r>
      </w:hyperlink>
      <w:r>
        <w:rPr>
          <w:rFonts w:ascii="Times New Roman" w:hAnsi="Times New Roman" w:eastAsia="Times New Roman"/>
          <w:bCs/>
          <w:sz w:val="28"/>
          <w:szCs w:val="28"/>
        </w:rPr>
        <w:t xml:space="preserve"> 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 </w:t>
      </w:r>
      <w:hyperlink r:id="rId17" w:tooltip="https://internet.garant.ru/#/document/12144695/entry/0" w:anchor="/document/12144695/entry/0" w:history="1">
        <w:r>
          <w:rPr>
            <w:rStyle w:val="697"/>
            <w:rFonts w:ascii="Times New Roman" w:hAnsi="Times New Roman" w:eastAsia="Times New Roman"/>
            <w:bCs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rFonts w:ascii="Times New Roman" w:hAnsi="Times New Roman" w:eastAsia="Times New Roman"/>
          <w:bCs/>
          <w:sz w:val="28"/>
          <w:szCs w:val="28"/>
        </w:rPr>
        <w:t xml:space="preserve"> Правительства Российской Федерации от 28 января 2006 года N 47 (далее - Положение) и пригодным для проживания (далее - заключение);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 выявлении оснований для признания помещения непригодным для проживания;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об отсутствии оснований для признания жилого помещения непригодным для проживания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 выявлении оснований для признания многоквартирного дома аварийным и подлежащим реконструкции;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 выявлении оснований для признания многоквартирного дома аварийным и подлежащим сносу.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отказ в предоставлении муниципальной услуги с обоснованием причин отказа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2.15.1.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Процедура предоставления муниципальной услуги завершается путем получения заявителем (направления заявителю):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акта обследования помещения (в случае, если обследование помещения производилось);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заключения об оценке соответствия помещения (многоквартирного дома) требованиям, установленным Положением;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копии постановления Администрации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- решения об отказе в предоставлении муниципальной услуги с обоснованием причин отказа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.16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Предоставление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услуги осуществляется без взимания платы.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2.17.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Сведения о ходе рассмотрения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заявления,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Сведения о ходе рассмотрения заявления,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Администрацию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б) в электронной форме посредством электронной почты.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 основании запроса сведения о ходе рассмотрения заявления доводятся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до заявителя в устной форме (при личном обращении либо по телефону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в Администрацию, в Комиссию,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2.21. 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2.22. Услуги, необходимые и обязательные для предоставления муниципальной услуги, отсутствуют.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2.23. При предоставлении муниципальной услуги запрещается требовать от заявителя </w:t>
      </w:r>
      <w:r>
        <w:rPr>
          <w:rFonts w:ascii="Times New Roman" w:hAnsi="Times New Roman"/>
          <w:sz w:val="28"/>
          <w:szCs w:val="28"/>
        </w:rPr>
        <w:t xml:space="preserve">предоставления и информации или осуществления действий, предусмотренных </w:t>
      </w:r>
      <w:hyperlink r:id="rId18" w:tooltip="http://internet.garant.ru/document/redirect/12177515/701" w:history="1">
        <w:r>
          <w:rPr>
            <w:rStyle w:val="679"/>
            <w:rFonts w:ascii="Times New Roman" w:hAnsi="Times New Roman"/>
            <w:b w:val="0"/>
            <w:color w:val="auto"/>
            <w:sz w:val="28"/>
            <w:szCs w:val="28"/>
          </w:rPr>
          <w:t xml:space="preserve">частью 1 статьи</w:t>
        </w:r>
        <w:r>
          <w:rPr>
            <w:rStyle w:val="679"/>
            <w:rFonts w:ascii="Times New Roman" w:hAnsi="Times New Roman"/>
            <w:color w:val="auto"/>
            <w:sz w:val="28"/>
            <w:szCs w:val="28"/>
          </w:rPr>
          <w:t xml:space="preserve">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 210-ФЗ «Об организации предоставления государственных и муниципальных услуг» (далее - Федеральный закон от 27.07.2010 N 210-ФЗ).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2.24. Местоположение административных зданий, в которых осуществляется прием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заявлений</w:t>
      </w:r>
      <w:r>
        <w:rPr>
          <w:rFonts w:ascii="Times New Roman" w:hAnsi="Times New Roman" w:eastAsia="Times New Roman"/>
          <w:sz w:val="28"/>
          <w:szCs w:val="28"/>
        </w:rPr>
        <w:t xml:space="preserve"> и документов, необходимых для предоставления муниципальной услуги, а </w:t>
      </w:r>
      <w:r>
        <w:rPr>
          <w:rFonts w:ascii="Times New Roman" w:hAnsi="Times New Roman" w:eastAsia="Times New Roman"/>
          <w:sz w:val="28"/>
          <w:szCs w:val="28"/>
        </w:rPr>
        <w:t xml:space="preserve">также выдача результатов предоставления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tabs>
          <w:tab w:val="left" w:pos="567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случае, если имеется возможность организации </w:t>
      </w:r>
      <w:r>
        <w:rPr>
          <w:rFonts w:ascii="Times New Roman" w:hAnsi="Times New Roman" w:eastAsia="Times New Roman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trike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eastAsia="Times New Roman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eastAsia="Times New Roman"/>
          <w:strike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</w:t>
      </w:r>
      <w:r>
        <w:rPr>
          <w:rFonts w:ascii="Times New Roman" w:hAnsi="Times New Roman" w:eastAsia="Times New Roman"/>
          <w:sz w:val="28"/>
          <w:szCs w:val="28"/>
        </w:rPr>
        <w:t xml:space="preserve">в здание и помещения, в которых</w:t>
      </w:r>
      <w:r>
        <w:rPr>
          <w:rFonts w:ascii="Times New Roman" w:hAnsi="Times New Roman" w:eastAsia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</w:t>
      </w:r>
      <w:r>
        <w:rPr>
          <w:rFonts w:ascii="Times New Roman" w:hAnsi="Times New Roman" w:eastAsia="Times New Roman"/>
          <w:sz w:val="28"/>
          <w:szCs w:val="28"/>
        </w:rPr>
        <w:t xml:space="preserve"> элементами, иными специальными</w:t>
      </w:r>
      <w:r>
        <w:rPr>
          <w:rFonts w:ascii="Times New Roman" w:hAnsi="Times New Roman" w:eastAsia="Times New Roman"/>
          <w:sz w:val="28"/>
          <w:szCs w:val="28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Центральный вход в здание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709"/>
        <w:tabs>
          <w:tab w:val="left" w:pos="567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наименование;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709"/>
        <w:tabs>
          <w:tab w:val="left" w:pos="567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местонахождение и юридический адрес;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709"/>
        <w:tabs>
          <w:tab w:val="left" w:pos="567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режим работы;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709"/>
        <w:tabs>
          <w:tab w:val="left" w:pos="567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график приема;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left="709"/>
        <w:tabs>
          <w:tab w:val="left" w:pos="567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номера телефонов для справок.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Помещения, в которых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услуга, оснащаются: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противопожарной системой и средствами пожаротушения;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системой оповещения о возникновении чрезвычайной ситуации;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средствами оказания первой медицинской помощи;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туалетными комнатами для посетителей.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номера кабинета;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графика приема Заявителей.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услуги инвалидам обеспечиваются: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услуга, и к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услуге с учетом ограничений их жизнедеятельности;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допуск сурдопереводчика и тифлосурдопереводчика;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trike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sz w:val="28"/>
          <w:szCs w:val="28"/>
        </w:rPr>
        <w:t xml:space="preserve"> услуги;</w:t>
      </w:r>
      <w:r>
        <w:rPr>
          <w:rFonts w:ascii="Times New Roman" w:hAnsi="Times New Roman" w:eastAsia="Times New Roman"/>
          <w:strike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оказание инвалидам помощи в преодолении барьеров, мешающих получению ими муниципальных услуг наравне с другими лицами.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2.25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Основными показателями доступности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являются: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наличие полной и понятной информации о порядке, сроках и ходе предоставления муницип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с помощью ЕПГУ,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регионального портала;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2.26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 Основными показателями качества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являются: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своевременность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услуги;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услуги;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, его должностных лиц, принимаемых (совершенных) при предоставлении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3.1. Состав административных процедур.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3.1</w:t>
      </w:r>
      <w:r>
        <w:rPr>
          <w:rFonts w:ascii="Times New Roman" w:hAnsi="Times New Roman" w:eastAsia="Times New Roman"/>
          <w:sz w:val="28"/>
          <w:szCs w:val="28"/>
        </w:rPr>
        <w:t xml:space="preserve">.1. Организация предоставления муниципальной услуги признания помещения жилым помещением, жилого помещения непригодным для проживания и многоквартирного дома аварийным и подлежащим сносу и реконструкции включает в себя следующие административные процедуры: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консультирование заявителя о порядке предоставления муниципальной услуги (при наличии необходимости);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прием и регистрация заявления с прилагаемыми документами;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формирование и направление межведомственных запросов. Анализ представленных документов;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работа Комиссии по оценке соответствия помещения требованиям, установленным Положением;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принятие Администрацией решения по итогам работы Комиссии;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направление (вручение) заявителю документов, являющихся результатом предоставления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 Последовательность, сроки выполнения и требования к порядку выполнения административных процедур.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 Прием и регистрация заявления с прилагаемыми документами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3.2.1.1. Основанием для начала административной процедуры является личное обращение заявителя или ег</w:t>
      </w:r>
      <w:r>
        <w:rPr>
          <w:rFonts w:ascii="Times New Roman" w:hAnsi="Times New Roman" w:eastAsia="Times New Roman"/>
          <w:sz w:val="28"/>
          <w:szCs w:val="28"/>
        </w:rPr>
        <w:t xml:space="preserve">о уполномоченного представителя в Комиссию, Многофункциональный центр с заявлением либо поступление заявления в адрес Комиссии, направленного посредством почтового отправления с уведомлением о вручении, либо в форме электронного документа с использованием </w:t>
      </w:r>
      <w:hyperlink r:id="rId19" w:tooltip="http://www.gosuslugi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единого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или </w:t>
      </w:r>
      <w:hyperlink r:id="rId20" w:tooltip="http://gosuslugi.chukotka-gov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регионального порталов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заявлению должны быть приложены документы, указанные в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пункте 2.8</w:t>
      </w:r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3.2.1.2. Должностным лицом, ответственным за выполнение Административной процедуры при предоставлении муниципальной услуги является заместитель председателя межведомственной комиссии, утверждаемой Постановлением Администрации (далее - Исполнитель).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3.2.1.3. Прием заявлений на выдачу Заключения и Постановления осуществляет специалист Администрации, ответственный за прием и регистрацию такого </w:t>
      </w:r>
      <w:r>
        <w:rPr>
          <w:rFonts w:ascii="Times New Roman" w:hAnsi="Times New Roman" w:eastAsia="Times New Roman"/>
          <w:sz w:val="28"/>
          <w:szCs w:val="28"/>
        </w:rPr>
        <w:t xml:space="preserve">заявления</w:t>
      </w:r>
      <w:r>
        <w:rPr>
          <w:rFonts w:ascii="Times New Roman" w:hAnsi="Times New Roman" w:eastAsia="Times New Roman"/>
          <w:sz w:val="28"/>
          <w:szCs w:val="28"/>
        </w:rPr>
        <w:t xml:space="preserve"> (далее - специалист) ежедневно по приемным </w:t>
      </w:r>
      <w:r>
        <w:rPr>
          <w:rFonts w:ascii="Times New Roman" w:hAnsi="Times New Roman" w:eastAsia="Times New Roman"/>
          <w:sz w:val="28"/>
          <w:szCs w:val="28"/>
        </w:rPr>
        <w:t xml:space="preserve">часам в Администрации. При личном обращении заявителя специалист: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устанавливает предмет обращения, устанавливает личность заявителя, проверяет документ, удостоверяющий личность заявителя;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проверяет полномочия заявителя, в том числе полномочия представителя заявителя действовать от его имени;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проверяет соответствие заявления установленным требованиям, комплектность представленных документов;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регистрирует заявление.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3.2.1.4. При поступлении заявления посредством почтового отправления, через Многофункциональный центр, либо в форме электронного документа с использованием </w:t>
      </w:r>
      <w:hyperlink r:id="rId21" w:tooltip="http://www.gosuslugi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единого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или </w:t>
      </w:r>
      <w:hyperlink r:id="rId22" w:tooltip="http://gosuslugi.chukotka-gov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регионального порталов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. Исполнитель проверяет соответствие заявления установленным требованиям, комплектность представленных документов, регистрирует заявление.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3.2.1.5. Время выполнения административной процедуры по приему и регистрации заявления с прилагаемыми документами составляет не более 30 минут.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3.2.1.6. Максимальный срок исполнения административной процедуры при обращении заявителя в порядке, предусмотренном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пунктом 2.4</w:t>
      </w:r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регламента, составляет 1 рабочий день.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 случае направления заявления в электронной форм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е способом, указанным в подпункте «а» пункта 2.4 настоящего Административного регламента, вне рабочего времени Комиссии либо в выходной, нерабочий праздничный днем поступления заявления считается первый рабочий день, следующий за днем направления заявления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3.2.1.7. Результатом выполнения данной административной процедуры является прием и регистрация заявления с приложенными документами.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 Формирование и направление межведомственных запросов. Анализ представленных документов.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3.2.2.1. Основанием для начала административной процедуры является отсутствие в Комиссии документов, указанных в 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пункте 2.9</w:t>
      </w:r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регламента, необходи</w:t>
      </w:r>
      <w:r>
        <w:rPr>
          <w:rFonts w:ascii="Times New Roman" w:hAnsi="Times New Roman" w:eastAsia="Times New Roman"/>
          <w:sz w:val="28"/>
          <w:szCs w:val="28"/>
        </w:rPr>
        <w:t xml:space="preserve">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организациях, и запрашиваемых Комиссией самостоятельно, и непредставление их заявителем по собственной инициативе.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3.2.2.2. Межведомственный запрос формируется в соответствии с требованиями </w:t>
      </w:r>
      <w:hyperlink r:id="rId23" w:tooltip="https://internet.garant.ru/#/document/12177515/entry/702" w:anchor="/document/12177515/entry/702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статьи 7.2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Федерального закона от 27.07.2010 N 210-ФЗ «Об организации предоставления государственных и муниципальных услуг» и подписывается уполномоченным лицом.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Направление межведомственного запроса осуществляется с использованием единой системы межведомственного электронного взаимодействия.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3.2.2.3. Исполнитель после регистрации заявления с приложенными документами: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проводит анализ представленных заявителем документов на предмет их достаточности и соответствия требованиям действующего законодательства;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осуществляет подготовку и направление межведомственного запроса в порядке, предусмотренном </w:t>
      </w:r>
      <w:hyperlink r:id="rId24" w:tooltip="https://internet.garant.ru/#/document/74993453/entry/78" w:anchor="/document/74993453/entry/78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3.2.2.2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Административно</w:t>
      </w:r>
      <w:r>
        <w:rPr>
          <w:rFonts w:ascii="Times New Roman" w:hAnsi="Times New Roman" w:eastAsia="Times New Roman"/>
          <w:sz w:val="28"/>
          <w:szCs w:val="28"/>
        </w:rPr>
        <w:t xml:space="preserve">го регламента,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если заявителем они не были представлены по собственной инициативе;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 отсутствии одного или нескольких документов и/или инф</w:t>
      </w:r>
      <w:r>
        <w:rPr>
          <w:rFonts w:ascii="Times New Roman" w:hAnsi="Times New Roman" w:eastAsia="Times New Roman"/>
          <w:sz w:val="28"/>
          <w:szCs w:val="28"/>
        </w:rPr>
        <w:t xml:space="preserve">ормации, непредставленных заявителем, либо которые невозможно получить в рамках межведомственного информационного взаимодействия, направляет заявителю письменное уведомление с предложением представить указанные документы в установленный в уведомлении срок;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 непредставлении заявителем отсутствующих документов (информации), оформляет письменный отказ в предоставлении муниципальной услуги с указанием причин отказа;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доводит до сведения председателя Комиссии или лица, его замещающего информацию по результатам анализа представленных документов и передает документы для их дальнейшего рассмотрения Комиссией.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3.2.2.4. Председатель комиссии (лицо, его замещающее):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 наличии оснований для отказа в предоставлении муниципальной услуги подписывает письменный отказ, в котором указываются причины отказа;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при отсутствии оснований для отказа в предоставлении муниципальной услуги назначает дату, время и место заседания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3.2.2.5. Максимальный срок выполнения действия по формированию и направлению межведомственных запросов составляет 5 рабочих дней.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Максимальный срок выполнения действия по анализу представленных документов составляет 1 рабочий день.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Максимальный срок подготовки и направления (вручения) заявителю отказа в предоставлении муниципальной услуги составляет 5 рабочих дней.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3.2.2.6. Результатом администра</w:t>
      </w:r>
      <w:r>
        <w:rPr>
          <w:rFonts w:ascii="Times New Roman" w:hAnsi="Times New Roman" w:eastAsia="Times New Roman"/>
          <w:sz w:val="28"/>
          <w:szCs w:val="28"/>
        </w:rPr>
        <w:t xml:space="preserve">тивной процедуры является направление (вручение) письменного отказа заявителю в предоставлении муниципальной услуги либо подготовка и передача пакета документов Комиссии для осуществления оценки соответствия помещения требованиям, установленным Положением.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 Работа Комиссии по оценке соответствия помещения требованиям, установленным Положением.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3.2.3.1. Основанием для начала административной процедуры является проведение заседания Комиссии по оценке соответствия помещения требованиям, установленным Положением.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3.2.3.2. Исполнитель не позднее, чем за 5 рабочих дней до назначенной даты заседания Комиссии, передает членам Комиссии телефонограмму с указанием места, даты и времени заседания Комиссии, вопросов, подлежащих рассмотрению.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3.2.3.3. Собственник оцениваемого помещения (уполномоченное им лицо) уведомляется Исполнителем о дате, времени и месте проведения </w:t>
      </w:r>
      <w:r>
        <w:rPr>
          <w:rFonts w:ascii="Times New Roman" w:hAnsi="Times New Roman" w:eastAsia="Times New Roman"/>
          <w:sz w:val="28"/>
          <w:szCs w:val="28"/>
        </w:rPr>
        <w:t xml:space="preserve">заседания Комиссии по телефону, указанному в заявлении, либо путем направления письменного уведомления посредством почтового отправления по адресу, указанному в заявлении (в случае невозможности уведомления по телефону).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3.2.3.4. Процедуры оценки соответствия помещения требованиям, установленным Положением, осуществляется в порядке, предусмотренном </w:t>
      </w:r>
      <w:hyperlink r:id="rId25" w:tooltip="https://internet.garant.ru/#/document/12144695/entry/1044" w:anchor="/document/12144695/entry/1044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44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Положения.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3.2.3.5. В ходе заседания Комиссии члены комиссии: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рассматривают представленные председателем комиссии заявление и комплект документов и принимают решение (в форме заключения);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 случае невозможности принятия решения в связи с необходимостью получения Комиссией дополнительных документов (заключений (актов) соответствующих органов государственного надзора (контроля), заключения проектно-изыскательской организации по рез</w:t>
      </w:r>
      <w:r>
        <w:rPr>
          <w:rFonts w:ascii="Times New Roman" w:hAnsi="Times New Roman" w:eastAsia="Times New Roman"/>
          <w:sz w:val="28"/>
          <w:szCs w:val="28"/>
        </w:rPr>
        <w:t xml:space="preserve">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установленным требованиям, определяют перечень дополнительных документов;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 случае невозможности принятия решения в связи с необходимостью привлечения к работе Комиссии экспертов проектно-изыскательских организаций для установления причин, по которым жилое помещение может быть признано нежилым, либо для оценки возм</w:t>
      </w:r>
      <w:r>
        <w:rPr>
          <w:rFonts w:ascii="Times New Roman" w:hAnsi="Times New Roman" w:eastAsia="Times New Roman"/>
          <w:sz w:val="28"/>
          <w:szCs w:val="28"/>
        </w:rPr>
        <w:t xml:space="preserve">ожности признания пригодным </w:t>
      </w:r>
      <w:r>
        <w:rPr>
          <w:rFonts w:ascii="Times New Roman" w:hAnsi="Times New Roman" w:eastAsia="Times New Roman"/>
          <w:sz w:val="28"/>
          <w:szCs w:val="28"/>
        </w:rPr>
        <w:t xml:space="preserve">для проживания</w:t>
      </w:r>
      <w:r>
        <w:rPr>
          <w:rFonts w:ascii="Times New Roman" w:hAnsi="Times New Roman" w:eastAsia="Times New Roman"/>
          <w:sz w:val="28"/>
          <w:szCs w:val="28"/>
        </w:rPr>
        <w:t xml:space="preserve"> реконструированного раннее нежилого помещения, определяют состав привлекаемых экспертов;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в случае необходимости проведения дополнительного обследования оцениваемого помещения определяют срок проведения осмотра и состав членов комиссии, участвующих в проведении осмотра.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3.2.3.5.1. В случае невозможности принятия решения в связи с необходимостью получения Комиссией дополнительных документов должностное лицо Комисси</w:t>
      </w:r>
      <w:r>
        <w:rPr>
          <w:rFonts w:ascii="Times New Roman" w:hAnsi="Times New Roman" w:eastAsia="Times New Roman"/>
          <w:sz w:val="28"/>
          <w:szCs w:val="28"/>
        </w:rPr>
        <w:t xml:space="preserve">и в течение 7 (семи) рабочих дней письменно уведомляет о принятом решении заявителя, а также осуществляет направление запросов о предоставлении документов (информации), которые могут быть получены в порядке межведомственного информационного взаимодействия.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3.2.3.5.2. После получения дополнительных документов, предусмотренных </w:t>
      </w:r>
      <w:hyperlink r:id="rId26" w:tooltip="https://internet.garant.ru/#/document/74993453/entry/32353" w:anchor="/document/74993453/entry/32353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абзацем 3 пункта 3.2.3.5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регламента, и/или привлечения к работе Комиссии экспертов, предусмотренных абзацем 4 пункта 3.2.4.5 Административного регламента, и/или проведения дополнительного обследования оцениваемого помещения в порядке, предусмотренном </w:t>
      </w:r>
      <w:hyperlink r:id="rId27" w:tooltip="https://internet.garant.ru/#/document/74993453/entry/94" w:anchor="/document/74993453/entry/94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пунктами 3.2.3.8 - 3.2.3.10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 (абзац 5 пункта 3.2.4.5 Административного регламента), Комиссия продолжает процедуру оценки.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3.2.3.5.3. Результаты дополнительных обследований и испытаний приобщаются к документам, ранее представленным на рассмотрение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3.2.3.6. По результатам рассмотрения представленных заявителем документов, акта обследования помещения (при проведении дополнительного обследования оцениваемого помещения) Комиссия принимает одно из </w:t>
      </w:r>
      <w:r>
        <w:rPr>
          <w:rFonts w:ascii="Times New Roman" w:hAnsi="Times New Roman" w:eastAsia="Times New Roman"/>
          <w:sz w:val="28"/>
          <w:szCs w:val="28"/>
        </w:rPr>
        <w:t xml:space="preserve">следующих решений: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 соответствии помещения требованиям, предъявляемым к жилому помещению, и его пригодности для проживания;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 выявлении оснований для призна</w:t>
      </w:r>
      <w:r>
        <w:rPr>
          <w:rFonts w:ascii="Times New Roman" w:hAnsi="Times New Roman" w:eastAsia="Times New Roman"/>
          <w:sz w:val="28"/>
          <w:szCs w:val="28"/>
        </w:rPr>
        <w:t xml:space="preserve">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 </w:t>
      </w:r>
      <w:hyperlink r:id="rId28" w:tooltip="https://internet.garant.ru/#/document/12144695/entry/1000" w:anchor="/document/12144695/entry/1000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Положении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требованиями;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 выявлении оснований для признания помещения непригодным для проживания;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об отсутствии оснований для признания жилого помещения непригодным для проживания;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 выявлении оснований для признания многоквартирного дома аварийным и подлежащим реконструкции;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 выявлении оснований для признания многоквартирного дома аварийным и подлежащим сносу;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орган местного самоуправления или должностное лицо при получении письменного обращения, в котором содержатся нецензурные либо оскорбительные</w:t>
      </w:r>
      <w:r>
        <w:rPr>
          <w:rFonts w:ascii="Times New Roman" w:hAnsi="Times New Roman" w:eastAsia="Times New Roman"/>
          <w:sz w:val="28"/>
          <w:szCs w:val="28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3.2.3.7. Решение принимается большинством голосов членов Комиссии и оформляется в виде заключения по </w:t>
      </w:r>
      <w:hyperlink r:id="rId29" w:tooltip="https://internet.garant.ru/#/document/12144695/entry/1100" w:anchor="/document/12144695/entry/1100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форме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, установленной </w:t>
      </w:r>
      <w:hyperlink r:id="rId30" w:tooltip="https://internet.garant.ru/#/document/12144695/entry/1000" w:anchor="/document/12144695/entry/1000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Положением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,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3.2.3.8. При принятии Комиссией решения о проведении дополнительного обследования оце</w:t>
      </w:r>
      <w:r>
        <w:rPr>
          <w:rFonts w:ascii="Times New Roman" w:hAnsi="Times New Roman" w:eastAsia="Times New Roman"/>
          <w:sz w:val="28"/>
          <w:szCs w:val="28"/>
        </w:rPr>
        <w:t xml:space="preserve">ниваемого помещения Комиссией определяется необходимость участия в обследовании экспертов проектно-изыскательских и специализированных организаций. Исполнитель по согласованию с председателем комиссии назначает дату проведения дополнительного обследования.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3.2.3.9. Члены Комиссии, привлеченные эксперты, уведомляются секретарем комиссии о дате проведения дополнительного обследования посредством факсимильной/телефонной связи, собственник оценив</w:t>
      </w:r>
      <w:r>
        <w:rPr>
          <w:rFonts w:ascii="Times New Roman" w:hAnsi="Times New Roman" w:eastAsia="Times New Roman"/>
          <w:sz w:val="28"/>
          <w:szCs w:val="28"/>
        </w:rPr>
        <w:t xml:space="preserve">аемого помещения (уполномоченное им лицо) уведомляется по телефону, указанному в заявлении, либо путем направления письменного уведомления посредством почтового отправления по адресу, указанному в заявлении (в случае невозможности уведомления по телефону).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3.2.3.10. По результатам дополнительного обследования оцениваемого помещения Исполнитель составляет в трех экземплярах акт обследования помещения по </w:t>
      </w:r>
      <w:hyperlink r:id="rId31" w:tooltip="https://internet.garant.ru/#/document/12144695/entry/1200" w:anchor="/document/12144695/entry/1200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форме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, установленной </w:t>
      </w:r>
      <w:hyperlink r:id="rId32" w:tooltip="https://internet.garant.ru/#/document/12144695/entry/1000" w:anchor="/document/12144695/entry/1000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Положением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. Акт подписывается всеми </w:t>
      </w:r>
      <w:r>
        <w:rPr>
          <w:rFonts w:ascii="Times New Roman" w:hAnsi="Times New Roman" w:eastAsia="Times New Roman"/>
          <w:sz w:val="28"/>
          <w:szCs w:val="28"/>
        </w:rPr>
        <w:t xml:space="preserve">членам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3.2.3.11. Максимальный срок выполнения административной процедуры по оценке соответствия помещ</w:t>
      </w:r>
      <w:r>
        <w:rPr>
          <w:rFonts w:ascii="Times New Roman" w:hAnsi="Times New Roman" w:eastAsia="Times New Roman"/>
          <w:sz w:val="28"/>
          <w:szCs w:val="28"/>
        </w:rPr>
        <w:t xml:space="preserve">ения требованиям, предъявляемым к жилым помещениям, и принятию решения Комиссией - 30 календарных дней с даты регистрации заявления; при проведении дополнительного обследования оцениваемого помещения указанный срок продлевается, но не более чем на 30 дней.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3.2.3.12. Результатом административной процедуры является принятие Комиссией одного из указанных в </w:t>
      </w:r>
      <w:hyperlink r:id="rId33" w:tooltip="https://internet.garant.ru/#/document/74993453/entry/92" w:anchor="/document/74993453/entry/92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пункте 3.2.3.6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Административного регламента решений.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 Принятие Администрацией решения по итогам работы Комиссии.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3.2.4.1. Основанием для начала административной процедуры является принятие Комиссией по итогам заседания решения (в форме заключения).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3.2.4.2. На основании заключения Комиссии Администрация принимает решение о признании помещения жилым помещением, жило</w:t>
      </w:r>
      <w:r>
        <w:rPr>
          <w:rFonts w:ascii="Times New Roman" w:hAnsi="Times New Roman" w:eastAsia="Times New Roman"/>
          <w:sz w:val="28"/>
          <w:szCs w:val="28"/>
        </w:rPr>
        <w:t xml:space="preserve">го помещения непригодным для проживания, а также многоквартирного дома аварийным и подлежащим сносу или реконструкции с указанием о дальнейшем использовании помещения, сроках отселения физических и юридических лиц в случае признания дома аварийным и подлеж</w:t>
      </w:r>
      <w:r>
        <w:rPr>
          <w:rFonts w:ascii="Times New Roman" w:hAnsi="Times New Roman" w:eastAsia="Times New Roman"/>
          <w:sz w:val="28"/>
          <w:szCs w:val="28"/>
        </w:rPr>
        <w:t xml:space="preserve">ащим сносу или реконструкции и</w:t>
      </w:r>
      <w:r>
        <w:rPr>
          <w:rFonts w:ascii="Times New Roman" w:hAnsi="Times New Roman" w:eastAsia="Times New Roman"/>
          <w:sz w:val="28"/>
          <w:szCs w:val="28"/>
        </w:rPr>
        <w:t xml:space="preserve"> о признании необходимости проведения ремонтно-восстановительных работ.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Указанное решение принимается в форме постановления Администрации (далее - Постановление).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3.2.4.3. Исполнитель обеспечивает подготовку такого Постановления и направляет его на подписание Главе </w:t>
      </w:r>
      <w:r>
        <w:rPr>
          <w:rFonts w:ascii="Times New Roman" w:hAnsi="Times New Roman" w:eastAsia="Times New Roman"/>
          <w:sz w:val="28"/>
          <w:szCs w:val="28"/>
        </w:rPr>
        <w:t xml:space="preserve">Маслянинского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mes New Roman"/>
          <w:sz w:val="28"/>
          <w:szCs w:val="28"/>
        </w:rPr>
        <w:t xml:space="preserve"> Новосибирской области (далее – Глава </w:t>
      </w:r>
      <w:r>
        <w:rPr>
          <w:rFonts w:ascii="Times New Roman" w:hAnsi="Times New Roman" w:eastAsia="Times New Roman"/>
          <w:sz w:val="28"/>
          <w:szCs w:val="28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3.2.4.4. Глава </w:t>
      </w:r>
      <w:r>
        <w:rPr>
          <w:rFonts w:ascii="Times New Roman" w:hAnsi="Times New Roman" w:eastAsia="Times New Roman"/>
          <w:sz w:val="28"/>
          <w:szCs w:val="28"/>
        </w:rPr>
        <w:t xml:space="preserve">округа</w:t>
      </w:r>
      <w:r>
        <w:rPr>
          <w:rFonts w:ascii="Times New Roman" w:hAnsi="Times New Roman" w:eastAsia="Times New Roman"/>
          <w:sz w:val="28"/>
          <w:szCs w:val="28"/>
        </w:rPr>
        <w:t xml:space="preserve"> подписывает Постановление в течение 15 рабочих дней со дня принятия Комиссией заключения.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3.2.4.5. Максимальный срок выполнения административной процедуры составляет 30 дней со дня принятия Комиссией решения (в виде заключения).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3.2.4.6. Рез</w:t>
      </w:r>
      <w:r>
        <w:rPr>
          <w:rFonts w:ascii="Times New Roman" w:hAnsi="Times New Roman" w:eastAsia="Times New Roman"/>
          <w:sz w:val="28"/>
          <w:szCs w:val="28"/>
        </w:rPr>
        <w:t xml:space="preserve">ультатом административной процедуры является принятие Администрацией решения в форме постановления о признании помещения жилым помещением, жилого помещения непригодным для проживания граждан, а также многоквартирного дома аварийным и подлежащим сносу или р</w:t>
      </w:r>
      <w:r>
        <w:rPr>
          <w:rFonts w:ascii="Times New Roman" w:hAnsi="Times New Roman" w:eastAsia="Times New Roman"/>
          <w:sz w:val="28"/>
          <w:szCs w:val="28"/>
        </w:rPr>
        <w:t xml:space="preserve">еконструкции , с указанием о дальнейшем использовании помещения, сроках отселения физических и юридических лиц в случае признания 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 Направление (вручение) заявителю документов, являющихся результатом предоставления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3.2.5.1. Основанием для начала административной процедуры является принятие Администрацией решения, предусмотренного </w:t>
      </w:r>
      <w:hyperlink r:id="rId34" w:tooltip="https://internet.garant.ru/#/document/74993453/entry/114" w:anchor="/document/74993453/entry/114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3.2.5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Административного регламента, либо подписание председателем комиссии или лицом, его замещающим отказа в предоставлении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3.2.5.2. Специалист в 5-дневный срок со дня принятия Администрацией решения, предусмотренного </w:t>
      </w:r>
      <w:hyperlink r:id="rId35" w:tooltip="https://internet.garant.ru/#/document/74993453/entry/101" w:anchor="/document/74993453/entry/101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3.2.4.2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Административного регламента, направляет в письменной или электронной форме с использованием </w:t>
      </w:r>
      <w:r>
        <w:rPr>
          <w:rFonts w:ascii="Times New Roman" w:hAnsi="Times New Roman" w:eastAsia="Times New Roman"/>
          <w:sz w:val="28"/>
          <w:szCs w:val="28"/>
        </w:rPr>
        <w:t xml:space="preserve">информационно-телекоммуникационных сетей общего пользования, в том числе информационно-телекоммуникационной сети "Интернет", включая </w:t>
      </w:r>
      <w:hyperlink r:id="rId36" w:tooltip="http://www.gosuslugi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единый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 или </w:t>
      </w:r>
      <w:hyperlink r:id="rId37" w:tooltip="http://gosuslugi.chukotka-gov.ru/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региональный порталы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, по 1 экземпляру Постановления и заключения Комиссии заявителю, либо решение об отказе в предоставлении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3.2.5.3. В случае представлени</w:t>
      </w:r>
      <w:r>
        <w:rPr>
          <w:rFonts w:ascii="Times New Roman" w:hAnsi="Times New Roman" w:eastAsia="Times New Roman"/>
          <w:sz w:val="28"/>
          <w:szCs w:val="28"/>
        </w:rPr>
        <w:t xml:space="preserve">я заявления о предоставлении муниципальной услуги через Многофункциональный центр, результат предоставления муниципальной услуги направляется в Многофункциональный центр для последующей выдаче заявителю, если иной способ его получения не указан заявителем.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3.2.5.4. В случае признания жилого помещения непригодным для проживания и многоквартирного дома аварийным и </w:t>
      </w:r>
      <w:r>
        <w:rPr>
          <w:rFonts w:ascii="Times New Roman" w:hAnsi="Times New Roman" w:eastAsia="Times New Roman"/>
          <w:sz w:val="28"/>
          <w:szCs w:val="28"/>
        </w:rPr>
        <w:t xml:space="preserve">подлежащим сносу или реконструкции секретарь комиссии направляет по 1 экземпляру постановления Администрации и заключения Комиссии в орган государственного жилищного надзора (муниципального жилищного контроля) по месту нахождения такого помещения или дома.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3.2.5.5. В случае выявления оснований для признания жилого помещения непригодным для</w:t>
      </w:r>
      <w:r>
        <w:rPr>
          <w:rFonts w:ascii="Times New Roman" w:hAnsi="Times New Roman" w:eastAsia="Times New Roman"/>
          <w:sz w:val="28"/>
          <w:szCs w:val="28"/>
        </w:rPr>
        <w:t xml:space="preserve">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38" w:tooltip="https://internet.garant.ru/#/document/12144695/entry/1036" w:anchor="/document/12144695/entry/1036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36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Положения, заключение Комиссии нап</w:t>
      </w:r>
      <w:r>
        <w:rPr>
          <w:rFonts w:ascii="Times New Roman" w:hAnsi="Times New Roman" w:eastAsia="Times New Roman"/>
          <w:sz w:val="28"/>
          <w:szCs w:val="28"/>
        </w:rPr>
        <w:t xml:space="preserve">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заключения.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3.2.5.6. Максимальный срок выполнения административной процедуры (за исключением </w:t>
      </w:r>
      <w:hyperlink r:id="rId39" w:tooltip="https://internet.garant.ru/#/document/74993453/entry/111" w:anchor="/document/74993453/entry/111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пункта 3.2.5.5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Административного регламента) составляет 5 дней с момента принятия Администрацией решения, предусмотренного </w:t>
      </w:r>
      <w:hyperlink r:id="rId40" w:tooltip="https://internet.garant.ru/#/document/74993453/entry/101" w:anchor="/document/74993453/entry/101" w:history="1">
        <w:r>
          <w:rPr>
            <w:rFonts w:ascii="Times New Roman" w:hAnsi="Times New Roman" w:eastAsia="Times New Roman"/>
            <w:sz w:val="28"/>
            <w:szCs w:val="28"/>
            <w:u w:val="single"/>
          </w:rPr>
          <w:t xml:space="preserve">пунктом 3.2.4.2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Административного регламента, либо подписания председателем Комиссии или лицом, его замещающим отказа в предоставлении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3.2.5.7. Результатом административной процедуры является направление (вручение) заявителю результата предоставления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 Формы контроля за исполнением административного регламента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</w:t>
      </w:r>
      <w:r>
        <w:rPr>
          <w:rFonts w:ascii="Times New Roman" w:hAnsi="Times New Roman"/>
          <w:sz w:val="28"/>
          <w:szCs w:val="28"/>
        </w:rPr>
        <w:t xml:space="preserve">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</w:t>
      </w:r>
      <w:r>
        <w:rPr>
          <w:rFonts w:ascii="Times New Roman" w:hAnsi="Times New Roman"/>
          <w:sz w:val="28"/>
          <w:szCs w:val="28"/>
        </w:rPr>
        <w:t xml:space="preserve">ием решений осуществляет 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</w:t>
      </w:r>
      <w:r>
        <w:rPr>
          <w:rFonts w:ascii="Times New Roman" w:hAnsi="Times New Roman"/>
          <w:sz w:val="28"/>
          <w:szCs w:val="28"/>
        </w:rPr>
        <w:t xml:space="preserve">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предоставление муниципальной услуги возлагается на Главу   муниципального образования, который непосредственно принимает решение по вопросам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tabs>
          <w:tab w:val="num" w:pos="284" w:leader="none"/>
          <w:tab w:val="left" w:pos="141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 w:eastAsia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</w:t>
      </w:r>
      <w:r>
        <w:rPr>
          <w:rFonts w:ascii="Times New Roman" w:hAnsi="Times New Roman"/>
          <w:b/>
          <w:sz w:val="28"/>
          <w:szCs w:val="28"/>
        </w:rPr>
        <w:t xml:space="preserve"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tabs>
          <w:tab w:val="left" w:pos="141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5.1. Заявитель имеет право обжаловать решения и действия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sz w:val="28"/>
          <w:szCs w:val="28"/>
        </w:rPr>
        <w:t xml:space="preserve">, при</w:t>
      </w:r>
      <w:r>
        <w:rPr>
          <w:rFonts w:ascii="Times New Roman" w:hAnsi="Times New Roman"/>
          <w:sz w:val="28"/>
          <w:szCs w:val="28"/>
        </w:rPr>
        <w:t xml:space="preserve">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администрации, должностных лиц, муниципальных служащих подается</w:t>
      </w:r>
      <w:r>
        <w:rPr>
          <w:rFonts w:ascii="Times New Roman" w:hAnsi="Times New Roman"/>
          <w:sz w:val="28"/>
          <w:szCs w:val="28"/>
        </w:rPr>
        <w:t xml:space="preserve"> главе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</w:t>
      </w:r>
      <w:r>
        <w:rPr>
          <w:rFonts w:ascii="Times New Roman" w:hAnsi="Times New Roman"/>
          <w:sz w:val="28"/>
          <w:szCs w:val="28"/>
        </w:rPr>
        <w:t xml:space="preserve">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</w:t>
      </w:r>
      <w:r>
        <w:rPr>
          <w:rFonts w:ascii="Times New Roman" w:hAnsi="Times New Roman"/>
          <w:sz w:val="28"/>
          <w:szCs w:val="28"/>
        </w:rPr>
        <w:t xml:space="preserve">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27.07.2010 № 210-ФЗ</w:t>
      </w:r>
      <w:r>
        <w:rPr>
          <w:rFonts w:ascii="Times New Roman" w:hAnsi="Times New Roman"/>
          <w:sz w:val="28"/>
          <w:szCs w:val="28"/>
        </w:rPr>
        <w:tab/>
        <w:t xml:space="preserve">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</w:r>
    </w:p>
    <w:p>
      <w:pPr>
        <w:pStyle w:val="698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/>
      <w:hyperlink r:id="rId41" w:tooltip="http://internet.garant.ru/#/document/70262414/entry/0" w:anchor="/document/70262414/entry/0" w:history="1">
        <w:r>
          <w:rPr>
            <w:rStyle w:val="697"/>
            <w:color w:val="000000"/>
            <w:sz w:val="28"/>
            <w:szCs w:val="28"/>
          </w:rPr>
          <w:t xml:space="preserve">постановление</w:t>
        </w:r>
      </w:hyperlink>
      <w:r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 xml:space="preserve">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color w:val="000000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предоставления муниципальной услуги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«Признание </w:t>
      </w:r>
      <w:r>
        <w:rPr>
          <w:rFonts w:ascii="Times New Roman" w:hAnsi="Times New Roman" w:eastAsia="Times New Roman"/>
          <w:sz w:val="28"/>
          <w:szCs w:val="28"/>
        </w:rPr>
        <w:t xml:space="preserve">помещения жилым помещением,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жилого помещения непригодным для проживания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 многоквартирного дома аварийным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 подлежащим сносу или реконструкции</w:t>
      </w:r>
      <w:r>
        <w:rPr>
          <w:rFonts w:ascii="Times New Roman" w:hAnsi="Times New Roman" w:eastAsia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jc w:val="righ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Форма заявления</w:t>
      </w:r>
      <w:r>
        <w:rPr>
          <w:rFonts w:ascii="Times New Roman" w:hAnsi="Times New Roman" w:eastAsia="Times New Roman"/>
          <w:b/>
          <w:sz w:val="28"/>
          <w:szCs w:val="28"/>
        </w:rPr>
      </w:r>
    </w:p>
    <w:p>
      <w:pPr>
        <w:spacing w:line="240" w:lineRule="atLeast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25400</wp:posOffset>
                </wp:positionV>
                <wp:extent cx="2790825" cy="236855"/>
                <wp:effectExtent l="0" t="0" r="635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4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709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262.45pt;mso-position-horizontal:absolute;mso-position-vertical-relative:text;margin-top:2.00pt;mso-position-vertical:absolute;width:219.75pt;height:18.6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ind w:firstLine="709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sz w:val="20"/>
        </w:rPr>
      </w:r>
    </w:p>
    <w:p>
      <w:pPr>
        <w:jc w:val="right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jc w:val="right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межведомственн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ую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комисси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ю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jc w:val="right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jc w:val="right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pacing w:before="100" w:beforeAutospacing="1" w:after="100" w:afterAutospacing="1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/>
          <w:color w:val="22272f"/>
          <w:sz w:val="28"/>
          <w:szCs w:val="28"/>
        </w:rPr>
        <w:br/>
        <w:t xml:space="preserve">о признании помещения жилым помещением, жилого помещения непригодным 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от _______________________________________________________________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(указывается собственник жилого помещения, либо собственники жилого помещения,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находящегося в общей собственности двух и более лиц, в случае, если ни один из собственников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либо иных лиц не уполномочен в установленном порядке представлять их интересы)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22272f"/>
          <w:sz w:val="28"/>
          <w:szCs w:val="28"/>
        </w:rPr>
        <w:t xml:space="preserve">Примечание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. Для физических лиц указываются: фамилия, имя, отчество (при наличии), р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Для юридических лиц указываются: наименование, организ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ационно-правовая форма, адрес места нахождения, номер телефона, фамилия, имя, отчество (при наличии)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Место нахождения жилого помещения: 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(указывается полный адрес: субъект Российской Федерации,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муниципальное образование, поселение, улица, дом, корпус, строение, квартира (комната), подъезд, этаж)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Прошу произвести оценку жилого помещения (нежилого помещения, многоквартирного дома) (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нужное подчеркнуть) требованиям </w:t>
      </w:r>
      <w:hyperlink r:id="rId42" w:tooltip="https://internet.garant.ru/#/document/12144695/entry/1000" w:anchor="/document/12144695/entry/1000" w:history="1">
        <w:r>
          <w:rPr>
            <w:rFonts w:ascii="Times New Roman" w:hAnsi="Times New Roman" w:eastAsia="Times New Roman"/>
            <w:color w:val="3272c0"/>
            <w:sz w:val="28"/>
            <w:szCs w:val="28"/>
            <w:u w:val="single"/>
          </w:rPr>
          <w:t xml:space="preserve">Положения</w:t>
        </w:r>
      </w:hyperlink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ли реконструкции, утвержденного </w:t>
      </w:r>
      <w:hyperlink r:id="rId43" w:tooltip="https://internet.garant.ru/#/document/12144695/entry/0" w:anchor="/document/12144695/entry/0" w:history="1">
        <w:r>
          <w:rPr>
            <w:rFonts w:ascii="Times New Roman" w:hAnsi="Times New Roman" w:eastAsia="Times New Roman"/>
            <w:color w:val="3272c0"/>
            <w:sz w:val="28"/>
            <w:szCs w:val="28"/>
            <w:u w:val="single"/>
          </w:rPr>
          <w:t xml:space="preserve">постановлением</w:t>
        </w:r>
      </w:hyperlink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Правительства Российской Федерации от 28 января 2006 года N 47, и пр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изнать __________________________________________________________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(нежилое помещение жилым, жилое помещение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непригодным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д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ля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проживания, многоквартирного дома аварийным и подлежащим сносу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(реконструкции))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Место нахождения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 помещения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: 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(адрес помещения: субъект Российской Федерации,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муниципальное образование, улица, дом, корпус, строение, квартира (комната))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Способ уведомления (в случае необходимос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ти): 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(номер контрактного телефона, адрес электронной почты)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Способ получения результата предоставления муниципальной услуги: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(лично, посредством почтовой связи, в виде электронного документа)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ind w:firstLine="0"/>
        <w:spacing w:before="100" w:beforeAutospacing="1" w:after="100" w:afterAutospacing="1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Приложение: документы на _______ листах.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tbl>
      <w:tblPr>
        <w:tblW w:w="9720" w:type="dxa"/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716"/>
        <w:gridCol w:w="4403"/>
        <w:gridCol w:w="2148"/>
        <w:gridCol w:w="914"/>
        <w:gridCol w:w="1539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пп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3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Наименование документа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1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N документа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43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1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9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eastAsia="Times New Roman"/>
                <w:color w:val="22272f"/>
                <w:sz w:val="28"/>
                <w:szCs w:val="28"/>
              </w:rPr>
            </w:r>
          </w:p>
        </w:tc>
      </w:tr>
    </w:tbl>
    <w:p>
      <w:pPr>
        <w:spacing w:before="100" w:beforeAutospacing="1" w:after="100" w:afterAutospacing="1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Заявитель: ____________________________________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_____________________________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Times New Roman"/>
          <w:color w:val="22272f"/>
          <w:sz w:val="28"/>
          <w:szCs w:val="28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(Ф.И.О. (при наличии) заявителя) (подпись)</w:t>
      </w:r>
      <w:r>
        <w:rPr>
          <w:rFonts w:ascii="Times New Roman" w:hAnsi="Times New Roman" w:eastAsia="Times New Roman"/>
          <w:color w:val="22272f"/>
          <w:sz w:val="28"/>
          <w:szCs w:val="28"/>
        </w:rPr>
      </w:r>
    </w:p>
    <w:p>
      <w:pPr>
        <w:spacing w:before="100" w:beforeAutospacing="1" w:after="100" w:afterAutospacing="1"/>
        <w:shd w:val="clear" w:color="auto" w:fill="ffffff"/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color w:val="22272f"/>
          <w:sz w:val="28"/>
          <w:szCs w:val="28"/>
        </w:rPr>
        <w:t xml:space="preserve">"____" _______________20____г.</w:t>
      </w:r>
      <w:r>
        <w:rPr>
          <w:rFonts w:ascii="Times New Roman" w:hAnsi="Times New Roman" w:eastAsia="Times New Roman"/>
          <w:sz w:val="20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0" w:h="16800" w:orient="portrait"/>
      <w:pgMar w:top="851" w:right="851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 w:ascii="Times New Roman" w:hAnsi="Times New Roman" w:cs="Times New Roman" w:eastAsiaTheme="minorEastAsia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90"/>
    <w:uiPriority w:val="99"/>
  </w:style>
  <w:style w:type="character" w:styleId="45">
    <w:name w:val="Footer Char"/>
    <w:basedOn w:val="674"/>
    <w:link w:val="692"/>
    <w:uiPriority w:val="99"/>
  </w:style>
  <w:style w:type="paragraph" w:styleId="46">
    <w:name w:val="Caption"/>
    <w:basedOn w:val="672"/>
    <w:next w:val="672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673">
    <w:name w:val="Heading 1"/>
    <w:basedOn w:val="672"/>
    <w:next w:val="672"/>
    <w:link w:val="677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73"/>
    <w:uiPriority w:val="9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678" w:customStyle="1">
    <w:name w:val="Цветовое выделение"/>
    <w:uiPriority w:val="99"/>
    <w:rPr>
      <w:b/>
      <w:color w:val="26282f"/>
    </w:rPr>
  </w:style>
  <w:style w:type="character" w:styleId="679" w:customStyle="1">
    <w:name w:val="Гипертекстовая ссылка"/>
    <w:basedOn w:val="678"/>
    <w:uiPriority w:val="99"/>
    <w:rPr>
      <w:rFonts w:cs="Times New Roman"/>
      <w:b/>
      <w:color w:val="106bbe"/>
    </w:rPr>
  </w:style>
  <w:style w:type="paragraph" w:styleId="680" w:customStyle="1">
    <w:name w:val="Нормальный (таблица)"/>
    <w:basedOn w:val="672"/>
    <w:next w:val="672"/>
    <w:uiPriority w:val="99"/>
    <w:pPr>
      <w:ind w:firstLine="0"/>
    </w:pPr>
  </w:style>
  <w:style w:type="paragraph" w:styleId="681">
    <w:name w:val="Balloon Text"/>
    <w:basedOn w:val="672"/>
    <w:link w:val="682"/>
    <w:uiPriority w:val="99"/>
    <w:semiHidden/>
    <w:unhideWhenUsed/>
    <w:rPr>
      <w:rFonts w:ascii="Tahoma" w:hAnsi="Tahoma" w:cs="Tahoma"/>
      <w:sz w:val="16"/>
      <w:szCs w:val="16"/>
    </w:rPr>
  </w:style>
  <w:style w:type="character" w:styleId="682" w:customStyle="1">
    <w:name w:val="Текст выноски Знак"/>
    <w:basedOn w:val="674"/>
    <w:link w:val="681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683" w:customStyle="1">
    <w:name w:val="Абзац списка1"/>
    <w:basedOn w:val="672"/>
    <w:pPr>
      <w:contextualSpacing/>
      <w:ind w:left="720" w:firstLine="0"/>
      <w:jc w:val="left"/>
      <w:widowControl/>
    </w:pPr>
    <w:rPr>
      <w:rFonts w:ascii="Times New Roman" w:hAnsi="Times New Roman" w:eastAsia="Times New Roman" w:cs="Times New Roman"/>
      <w:sz w:val="28"/>
      <w:szCs w:val="20"/>
    </w:rPr>
  </w:style>
  <w:style w:type="paragraph" w:styleId="684" w:customStyle="1">
    <w:name w:val="Прижатый влево"/>
    <w:basedOn w:val="672"/>
    <w:next w:val="672"/>
    <w:uiPriority w:val="99"/>
    <w:pPr>
      <w:ind w:firstLine="0"/>
      <w:jc w:val="left"/>
      <w:widowControl/>
    </w:pPr>
    <w:rPr>
      <w:rFonts w:eastAsiaTheme="minorHAnsi"/>
      <w:lang w:eastAsia="en-US"/>
    </w:rPr>
  </w:style>
  <w:style w:type="paragraph" w:styleId="685" w:customStyle="1">
    <w:name w:val="ConsPlusCell"/>
    <w:uiPriority w:val="99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686">
    <w:name w:val="List Paragraph"/>
    <w:basedOn w:val="672"/>
    <w:uiPriority w:val="34"/>
    <w:qFormat/>
    <w:pPr>
      <w:contextualSpacing/>
      <w:ind w:left="720"/>
    </w:pPr>
  </w:style>
  <w:style w:type="paragraph" w:styleId="687">
    <w:name w:val="Body Text"/>
    <w:basedOn w:val="672"/>
    <w:link w:val="688"/>
    <w:semiHidden/>
    <w:unhideWhenUsed/>
    <w:pPr>
      <w:ind w:firstLine="0"/>
      <w:widowControl/>
    </w:pPr>
    <w:rPr>
      <w:rFonts w:ascii="Times New Roman" w:hAnsi="Times New Roman" w:eastAsia="Times New Roman" w:cs="Times New Roman"/>
      <w:sz w:val="22"/>
      <w:szCs w:val="20"/>
    </w:rPr>
  </w:style>
  <w:style w:type="character" w:styleId="688" w:customStyle="1">
    <w:name w:val="Основной текст Знак"/>
    <w:basedOn w:val="674"/>
    <w:link w:val="687"/>
    <w:semiHidden/>
    <w:rPr>
      <w:rFonts w:ascii="Times New Roman" w:hAnsi="Times New Roman" w:eastAsia="Times New Roman" w:cs="Times New Roman"/>
      <w:szCs w:val="20"/>
      <w:lang w:eastAsia="ru-RU"/>
    </w:rPr>
  </w:style>
  <w:style w:type="paragraph" w:styleId="689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690">
    <w:name w:val="Header"/>
    <w:basedOn w:val="672"/>
    <w:link w:val="6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4"/>
    <w:link w:val="690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692">
    <w:name w:val="Footer"/>
    <w:basedOn w:val="672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4"/>
    <w:link w:val="692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694" w:customStyle="1">
    <w:name w:val="ConsPlusNormal"/>
    <w:link w:val="695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95" w:customStyle="1">
    <w:name w:val="ConsPlusNormal Знак"/>
    <w:basedOn w:val="674"/>
    <w:link w:val="694"/>
    <w:rPr>
      <w:rFonts w:ascii="Arial" w:hAnsi="Arial" w:eastAsia="Times New Roman" w:cs="Arial"/>
      <w:sz w:val="20"/>
      <w:szCs w:val="20"/>
      <w:lang w:eastAsia="ru-RU"/>
    </w:rPr>
  </w:style>
  <w:style w:type="paragraph" w:styleId="696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97">
    <w:name w:val="Hyperlink"/>
    <w:basedOn w:val="674"/>
    <w:uiPriority w:val="99"/>
    <w:semiHidden/>
    <w:unhideWhenUsed/>
    <w:rPr>
      <w:color w:val="0000ff"/>
      <w:u w:val="single"/>
    </w:rPr>
  </w:style>
  <w:style w:type="paragraph" w:styleId="698" w:customStyle="1">
    <w:name w:val="s_1"/>
    <w:basedOn w:val="672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/document/redirect/7190001/933997025" TargetMode="External"/><Relationship Id="rId11" Type="http://schemas.openxmlformats.org/officeDocument/2006/relationships/hyperlink" Target="http://internet.garant.ru/document/redirect/7190001/754" TargetMode="External"/><Relationship Id="rId12" Type="http://schemas.openxmlformats.org/officeDocument/2006/relationships/hyperlink" Target="http://internet.garant.ru/document/redirect/7190001/2416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12177515/701" TargetMode="External"/><Relationship Id="rId19" Type="http://schemas.openxmlformats.org/officeDocument/2006/relationships/hyperlink" Target="http://www.gosuslugi.ru/" TargetMode="External"/><Relationship Id="rId20" Type="http://schemas.openxmlformats.org/officeDocument/2006/relationships/hyperlink" Target="http://gosuslugi.chukotka-gov.ru/" TargetMode="External"/><Relationship Id="rId21" Type="http://schemas.openxmlformats.org/officeDocument/2006/relationships/hyperlink" Target="http://www.gosuslugi.ru/" TargetMode="External"/><Relationship Id="rId22" Type="http://schemas.openxmlformats.org/officeDocument/2006/relationships/hyperlink" Target="http://gosuslugi.chukotka-gov.ru/" TargetMode="External"/><Relationship Id="rId23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36" Type="http://schemas.openxmlformats.org/officeDocument/2006/relationships/hyperlink" Target="http://www.gosuslugi.ru/" TargetMode="External"/><Relationship Id="rId37" Type="http://schemas.openxmlformats.org/officeDocument/2006/relationships/hyperlink" Target="http://gosuslugi.chukotka-gov.ru/" TargetMode="External"/><Relationship Id="rId3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1" Type="http://schemas.openxmlformats.org/officeDocument/2006/relationships/hyperlink" Target="http://internet.garant.ru/" TargetMode="External"/><Relationship Id="rId4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4D10-B97B-4A35-9F4E-4356FBE4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economsvodreestr</cp:lastModifiedBy>
  <cp:revision>31</cp:revision>
  <dcterms:created xsi:type="dcterms:W3CDTF">2021-08-20T06:00:00Z</dcterms:created>
  <dcterms:modified xsi:type="dcterms:W3CDTF">2025-04-04T08:29:09Z</dcterms:modified>
</cp:coreProperties>
</file>