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АДМИНИСТРАЦИЯ МАСЛЯНИНСКОГО МУНИЦИПАЛЬНОГО ОКРУГА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административного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регламента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предоставлению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«Присвоение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аннулирование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адресов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адресации»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0" w:tooltip="https://pravo-search.minjust.ru/bigs/showDocument.html?id=96E20C02-1B12-465A-B64C-24AA92270007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от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06.10.2003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№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131-ФЗ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hyperlink r:id="rId11" w:tooltip="https://pravo-search.minjust.ru/bigs/showDocument.html?id=96E20C02-1B12-465A-B64C-24AA92270007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Об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общих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принципах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организации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местного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самоуправления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Федерации»,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2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от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27.07.2010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№210-ФЗ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3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Об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организации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предоставления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государственных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и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муниципальных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услуг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Маслянинского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28.02.2025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197-па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регламентов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прилагаемый административный регламент по предоставлению муниципальной услуги «Присвоение и аннулирование адресов объектов адресации».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 постановление администрации рабочего поселка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Маслянино Маслянинского района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4" w:tooltip="https://pravo-search.minjust.ru/bigs/showDocument.html?id=3AC034BB-A234-408B-BA7A-E5005E39A97B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от 1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0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07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.20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17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 №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433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Бажинского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17.07.2017г. №80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 администрации Березовского сельсовета Маслянинского района Новосибирской области от 01.08.2017 № 73 «Об утве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Большеизыракского сельсовета Маслянинского района Новосибирской области от 03.07.2017 г.  № 79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Борковского сельсовета Маслянинского района Новосибирской области от 10.07.2017 № 81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по присвоению, изменению и аннулированию адресов объектов недвижимости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Дубровского сельсовета Маслянинского района Новосибирской области от 19.07.2017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69 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дминистрации Егорьевского сельсовета Маслянинского района Новосибирской области от 17.07. 2017 № 77 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 постановление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дминистрации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лбанского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сельсовета Маслянинского района Новосибирской области от 07.07.2017 №70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постановление администрации Мамоновского сельсовета Маслянинского района Новосибирской области от 04.07.2017г. № 98 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Малотомского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Маслянинского</w:t>
      </w:r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12.07.2017г. № 76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 постановление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Никоновского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сельсовета Маслянинского района Новосибирской области от 19.08.2016 г.  № 85 «Об утверждении административного регламента предоставления муниципальной услуги по присвоению и аннулированию адресов объектов адресации»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утратившими силу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Пеньковского сельсовета Маслянинского района Новосибирской области от «10» июля 2020 г. №98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Управлению городским поселением рабочий поселок Маслянино администрации Маслянинского муниципального округа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Управлению сельскими поселениями администрации Маслянинского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обеспечить предоставление муниципальной услуги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присвоению и аннулированию адресов объектов адресации в соответствии с административным регламентом.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Маслянинского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В.В. Ярманов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 постановлению администрации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Маслянинского 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№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Административный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регламент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предоставлению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услуги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«Присвоение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аннулирование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адресов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адресации»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I. Общие положения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              Настоящий Административный регламент устанавливает порядок и стандарт предоставления муниципальной услуги «Присвоение и аннулирование адресов объектов адресации» (далее – Услуга).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              Заявителями на получение муниципальной услуги являются собственник объекта адре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сации либо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 (далее - заявитель, заявители).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Интересы заявителей, указанных в пункте 2 настоящего административного регламента, могут представлять лица, обладающие соответств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ующими полномочиями, основанными на оформленной в установленном законодательством Российской Федерации порядке доверенности, указании закона либо акте уполномоченного на то государственного органа или органа местного самоуправления (далее - представитель).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имени собственников помещений в многоквартирном доме с заявление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 о предоставлении муниципальной услуги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имени лица, указанного в пункте 2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тьей 42.3 Федерального закона от 24.07.2007 № 221-ФЗ «О кадастровой деятельности» (далее – Федеральный закон № 221-ФЗ),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              Услуга должна быть предоставлена заявителю в соответствии с вариантом предоставления Услуги (далее – вариант).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Вариант определяется в соответствии с таблицей 2 приложения №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              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              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)» 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далее – Единый портал).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II. Стандарт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              Присвоение и аннулирование адресов объектов адресации.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 органа, предоставляющего Услугу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              Услуга предоставляется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Управлением городским поселением раб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Маслянино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Управлением сельскими поселениями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дминистраци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Новосибирской области (далее – Орган местного самоуправления).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              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МФЦ, в которых организуется предоставление Услуги, не могут принимать 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              При обращении заявителя за присвоением, изменением и аннулированием адресов объектов недвижимости результатами предоставления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              Результаты предоставления Услуги могут быть получены в МФЦ, посредством Федеральной государственной информационной системы «Единый портал государственных и муниципальных услуг (функций).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              Срок предоставления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Правовые основания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              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14.             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заявления и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15.              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 Услуги или отказа в предоставлении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16.              Основания для приостановления предоставления Услуги законодательством Российской Федерации не предусмотрены.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17.              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Размер платы, взимаемой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заявителя 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предоставлении Услуги, и способы ее взимания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18.              Взимание государственной пошлины или иной платы за предоставление Услуги законодательством Российской Федерации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19.              Максимальный срок ожидания в очереди при подаче заявления составляет 15 минут.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20.              Максимальный срок ожидания в очереди при получении результата Услуги составляет 15 минут.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регистрации заявления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21.              Срок регистраци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Услуга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22.              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Показатели доступности и качества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23.              Показатели доступности и качества Услуги размещены на официальном сайте Органа местного самоуправления в сети «Интернет», а также на Едином портале.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требования к предоставлению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              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25.              Информационная система, используемая для предоставления Услуги, – единая система межведомственного электронного взаимодействия.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вариантов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26.              При обращении заявителя за присвоением, изменением и аннулированием адресов объектов недвижимости Услуга предоставляется в соответствии со следующими вариантами: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1: собственник объекта адресации, Представитель, представитель, действующий в силу полномочий, основанных на оформле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2: собственник объекта адресации, Представитель, представитель собственников помещений в многоквартирном доме, уполномоченный, принятым в установленном законодательством Российской Федерации порядке решением общего собрания указанных собственников;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3: собственник объекта адресации, Представитель, представитель членов садоводческого или огороднического некоммерческого товарищества, уполномоченный принятым решением общего собрания членов такого товарищества;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4: собственник объекта адресации, Представитель, кадастровый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инженер,выполняющий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5: собственник объекта адресации, Заявитель;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6: 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пользования, Заявитель;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7: лицо, обладающие одним из следу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пользования, Представитель, представитель, действующий в силу полномочий, основанных на оформле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 8: лицо, обладающие одним из следующих вещных прав на объект: право хозяйственного ведения, право оперативного управления, право пожизненно наследуемого владения, право постоянного (бессрочного) пользования, Представитель, кадастровый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инженер,выполняющий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27.              Возможность оставления заявления без рассмотрения не предусмотрена.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28.              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Профилирование заявителя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29.              Вариант определяется путем профилирования заявителя, в про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Профилирование осуществляется: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30.              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31.              Описания вариантов, приведенные в настоящем разделе, размещаются Органом местного самоуправления в общедоступном для ознакомления месте.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1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32.              Срок предоставления Услуги зависит от способа подачи заявления и 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34.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35.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36.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документ, подтверждающий полномочия представителя заявителя, – доверенность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39.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15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подано лицом, не имеющим полномочий на осуществление действий от имени заявителя.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41.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42.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 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43.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44.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45.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 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47.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48.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2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50.              Срок предоставления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51.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52.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53.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54.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 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55.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документ, подтверждающий полномочия представителя заявителя, – доверенность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56.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57.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58.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 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16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подано лицом, не имеющим полномочий на осуществление действий от имени заявителя.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59.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60.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61.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62.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 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63.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64.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65.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66.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3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68.              Срок предоставления варианта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69.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 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70.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71.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72.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73.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документ, подтверждающий полномочия представителя заявителя, – доверенность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74.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 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75.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76.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17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подано лицом, не имеющим полномочий на осуществление действий от имени заявителя.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77.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78.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79.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80.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 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81.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запрос свидетельствует об отсутствии документа и (или) информации, необходимых для присвоения объекту адресации адреса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82.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83.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84.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 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4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86.              Срок предоставления варианта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87.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88.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89.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90.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91.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 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документ, подтверждающий полномочия представителя заявителя, – доверенность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92.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93.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идентификации и аутентификации в инфраструктуре, обеспечивающей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94.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18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подано лицом, не имеющим полномочий на осуществление действий от имени заявителя.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95.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96.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97.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98.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99.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 свидетельствует об отсутствии документа 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101.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102.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5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104.              Срок предоставления варианта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105.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106.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107.              В настоящем варианте предоставления Услуги не приведена 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108.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109.              Исчерпывающий перечен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110.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111.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112.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19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113.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114.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115.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116.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 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117.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118.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120.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6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122.              Срок предоставления варианта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123.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 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124.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125.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126.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127.              Исчерпывающий перечень документов, необходимых в соответствии с законодательными или иными нормативными право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выми актами для предоставления Услуги, которые заявитель должен представить самостоятельно, – документы, удостоверяющие личность, – паспорт гражданина Российской Федерации (при подаче заявления в МФЦ: оригинал; с использованием федеральной государственной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128.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129.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130.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20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131.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132.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133.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134.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 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135.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запрос свидетельствует об отсутствии документа и (или) информации, необходимых для присвоения объекту адресации адреса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136.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137.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138.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7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140.              Срок предоставления варианта Услуги зависит от способа подачи 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141.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142.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143.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144.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145.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документ, подтверждающий полномочия представителя заявителя, – доверенность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146.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147.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идентификации и аутентификации в инфраструктуре, обеспечивающей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148.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21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подано лицом, не имеющим полномочий на осуществление действий от имени заявителя.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149.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150.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151.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152.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153.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154.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155.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156.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8            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158.              Срок предоставления варианта Услуги зависит от способа подачи заявления и документов.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подаче заявления и документов: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срок 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 с даты регистрации заявления и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срок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предоставления Услуги составит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 дней с даты регистрации заявления и документов, необходимых для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159.              Результатом предоставления варианта Услуги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   Документами, содержащими решения о предоставлении Услуги,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постановление администрации о присвоении объекту адресации адреса или аннулировании его адреса;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решение об отказе в присвоении объекту адресации адреса или аннулировании его адреса.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160.              Административные процедуры, осуществляемые при предоставлении Услуги в соответствии с настоящим вариантом: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межведомственное информационное взаимодействие;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принятие решения о предоставлении (об отказе в предоставлении)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предоставление результата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161.              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 заявления и документов и (или) информации, необходимых для 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162.              Представление заявител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документов и заявления, форма которого утверждена Приказ Минфина России от 11.12.2014 № 146н (ред. от 14.01.2022) "Об утверждении форм заявления о присвоении объекту адресации адреса или аннулировании его адреса, решения об отказе в присвоении объекту 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дресации адреса или аннулировании его адреса" (Зарегистрировано в Минюсте России 09.02.2015 № 35948),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163.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документы, удостоверяющие личность, – паспорт гражданина Российской Федера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оформлен в электронном виде с использованием федеральной государственной информа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документ, подтверждающий полномочия представителя заявителя, – доверенность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подтверждающая полномочия представителя заявителя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бумажного документа).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164.              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           документы в сфере градостроительной деятельности, – схема расположения земельного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частка или земельных участков на кадастровом плане территории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документы, подтверждающие проект переустройств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и (или) перепланировки помещения, – акт приемочной комиссии (при подаче заявления в МФЦ: оригинал; с использованием федеральной государственной информационной системы «Единый портал государственных и муниципальных услуг (функций)»: скан-копия документа);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подтверждающие наличие на праве собственности или на ином законном основании недвижимости: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иные правоустанавливающие документы на земельный участок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правоустанавливающий документ на объект недвижимости (при подаче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заявления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165.              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документ, удостоверяющий личность;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166.              Орган местного самоуправления отказывает заявителю в приеме заявления и документов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срок действия документа, удостоверяющего личность, истек на дату подачи заявления;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           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 </w:t>
      </w:r>
      <w:hyperlink r:id="rId22" w:tooltip="https://pravo-search.minjust.ru/bigs/showDocument.html?id=03CF0FB8-17D5-46F6-A5EC-D1642676534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от 06.04.2011 № 63-ФЗ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«Об электронной подписи»;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документы, являющиеся обязательными для представления, не представлены заявителем;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неполное заполнение полей в форме заявления, в том числе в интерактивной форме заявления на Едином портале;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заявление подано лицом, не имеющим полномочий на осуществление действий от имени заявителя.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167.              Заявление может быть оставлено без рассмотрения при наличии следующего основания – отказ заявителя от предоставления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168.              Услуга не предусматривает возможности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169.             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в МФЦ – 1 рабочий день;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с использованием федеральной государственной информационной системы «Единый портал государственных и муниципальных услуг (функций)» – 1 рабочий день.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170.              Для получения Услуги необходимо направление следующих межведомственных информационных запросов: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 посредством федеральной государственной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«Федеральная служба государственной регистрации, кадастра и картографии».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при осуществлении межведомственного информационного взаимодействия посредством федеральной государственной информационной системы «Единая система межве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домственного электронного взаимодействия» информационный запрос 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«Федеральная налоговая служба».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171.              Орган местного самоуправления отказывает заявителю в предоставлении Услуги при наличии следующих оснований: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заявитель не относится к кругу лиц, имеющих право на получение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              отсутствие случаев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условий для присвоения объекту адресации адреса или аннулирования его адреса, указанных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ответ на межведомственный зап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172.              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173.              Способы получения результата предоставления Услуги: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 предоставлении Услуги;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  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         посредством Федеральной государственной информационной системы «Единый портал государственных и муниципальных услуг (функций), в МФЦ – решение об отказе в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174.              Предоставление результата Услуги осуществляется в срок, не превышающий 1 рабочего дня со дня принятия решения о предоставлении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             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IV. Формы контроля за исполнением Административного регламента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176.              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должностные лица Органа местного самоуправления, уполномоченные на осуществление контроля за предоставлением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177.              Текущий контроль осуществляется посредством проведения плановых и внеплановых проверок.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178.              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179.              Проверки проводятся уполномоченными лицами Органа местного самоуправления.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180.              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181.              Контроль за предоставлением Услуги, в том 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статьи 16 Федерального закона «</w:t>
      </w:r>
      <w:hyperlink r:id="rId23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b/>
            <w:bCs/>
            <w:sz w:val="30"/>
            <w:lang w:eastAsia="ru-RU"/>
          </w:rPr>
          <w:t xml:space="preserve">Об организации предоставления государственных и муниципальных услуг</w:t>
        </w:r>
      </w:hyperlink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», а также их должностных лиц, государственных или муниципальных служащих, работников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182.              Заявитель имеет право на обжалование решения и (или) действий (бездействия)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183.              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к руководителю многофункционального центра - на решения и действия (бездействие) работника многофункционального центра;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к учредителю многофункционального центра - на решение и действия (бездействие) многофункционального центра.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184. Информация о порядке подачи и рассмотрения жалобы размещается на информационных стендах в местах пр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185. 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 регулируется: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Федеральным законом № 210-ФЗ;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постановлением Правительства Российс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 № 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дминистративному регламенту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 общих признаков заявителей, а также комбинации значений признаков, каждая из которых соответствует одному варианту предоставления Услуги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 1. Круг заявителей в соответствии с вариантами предоставления Услуги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5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859"/>
      </w:tblGrid>
      <w:tr>
        <w:tblPrEx/>
        <w:trPr>
          <w:trHeight w:val="5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арианта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Комбинация значений признаков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Результат Услуги, за которым обращается заявитель «Присвоение, изменение и аннулирование адресов объектов недвижимости»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Собственник объекта адресации, Представитель, представитель, действующий в силу полномочий, основанных на оформл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енной в установленном законодательством Российской Федерации порядке доверенности, на указании федерального закона либо на акте уполномоченного на то государственного органа, органа местного самоуправления или органа публичной власти федеральной 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Собственник объекта адресации, Представитель, представитель собственников помещений в многоквартирном доме, уполномоченный, принятым в установленном законодательством Российской Федерации порядке решением общего собрания указанных собственников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Собственник объекта адресации, Представитель, представитель членов садоводческого или огороднического некоммерческого товарищества, уполномоченный принятым решением общего собрания членов такого товарищества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Собственник объекта адресации, Представитель, кадастровый инженер,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выполняющий на основании документа, предусмотренного статьей 35 или статьей 42.3 Федерального закона "О кадастровой деятельности", кадастровые работы или комплексные кадастровые работы в отношении соответствующего объекта 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Собственник объекта адресации, 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Лицо, обладающие одним из следующих вещных прав на объект: право хозяйственного ведения, право оперативного управления, право пожизненно наследуемого владения, право постоянного (бессрочного) пользования, 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Лицо, обладающие одним из след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ующих вещных прав на объект: право хозяйственного ведения, право оперативного управления, право пожизненно наследуемого владения, право постоянного (бессрочного) пользования, Представитель, представитель, действующий в силу полномочий, основанных на оформл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енной в установленном законодательством Российской Федерации порядке доверенности, на указании федерального закона либо на акте уполномоченного на то государственного органа, органа местного самоуправления или органа публичной власти федеральной 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Лицо, обладающие одним из следующих вещных прав на объект: право хозяйственного ведения, право оперативного управления, право пожизненно наследуемого владения, право постоянного (бессрочного) пользования, Представитель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 кадастровый инженер,выполняющий на основании документа, предусмотренного статьей 35 или статьей 42.3 Федерального закона "О кадастровой деятельности", кадастровые работы или комплексные кадастровые работы в отношении соответствующего объекта 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 2. Перечень общих признаков заявителей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068"/>
        <w:gridCol w:w="6616"/>
      </w:tblGrid>
      <w:tr>
        <w:tblPrEx/>
        <w:trPr>
          <w:trHeight w:val="8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pct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 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Признак 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2" w:type="pct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Значения признака 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Результат Услуги «Присвоение, изменение и аннулирование адресов объектов недвижимости»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  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Категория 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Собственник объекта адресации.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Лицо, обладающие одним из следующих вещных прав на объект: право хозяйственного ведения, право оперативного управления, право пожизненно наследуемого владения, право постоянного (бессрочного) 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  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Кто обращается за услугой?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Представитель.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  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Кто обращается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зауслугой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Заявитель.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Представитель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  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Представитель, действующий в силу полномочий, основанных на оформле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нной в установленном законодательством Российской Федерации порядке доверенности, на указании федерального закона либо на акте уполномоченного на то государственного органа, органа местного самоуправления или органа публичной власти федеральной территории.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Представитель собственников помещений в многоквартирном доме, уполномоченный, принятым в установленном законодательством Российской Федерации порядке решением общего собрания указанных собственников.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 Представитель членов садоводческого или огороднического некоммерческого товарищества, уполномоченный принятым решением общего собрания членов такого товарищества.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 Кадастровый инженер,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выполняющий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статьей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статьей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деятельности",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комплексные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отношении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соответствующего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  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Представитель, действующий в силу полномочий, основанных на оформле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нной в установленном законодательством Российской Федерации порядке доверенности, на указании федерального закона либо на акте уполномоченного на то государственного органа, органа местного самоуправления или органа публичной власти федеральной территории.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Кадастровый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инженер,выполняющий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на основании документа, предусмотренного статьей 35 или статьей 42.3 Федерального закона "О кадастровой деятельности", кадастровые работы или комплексные кадастровые работы в отношении соответствующего объекта 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30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 № 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 Административному регламенту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Реквизиты бланка Кому___________________________________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 имя, отчество (при наличии) заявителя, ОГРНИП</w:t>
      </w:r>
      <w:r>
        <w:rPr>
          <w:rFonts w:ascii="Times New Roman" w:hAnsi="Times New Roman" w:eastAsia="Times New Roman" w:cs="Times New Roman"/>
          <w:spacing w:val="-47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(для физического лица, зарегистрированного в качестве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индивидуального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предпринимателя)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физического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лица,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полное наименование заявителя, ИНН,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0" cy="66675"/>
                <wp:effectExtent l="0" t="0" r="0" b="0"/>
                <wp:docPr id="1" name="AutoShap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8610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243.00pt;height:5.2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ОГРН – 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юридического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лица,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 индекс и адрес,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телефон, адрес электронной</w:t>
      </w:r>
      <w:r>
        <w:rPr>
          <w:rFonts w:ascii="Times New Roman" w:hAnsi="Times New Roman" w:eastAsia="Times New Roman" w:cs="Times New Roman"/>
          <w:spacing w:val="-47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 Е Ш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 Н И 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отказе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приеме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 приеме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муниципальной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 «Присвоение и аннулирование адресов объектов адресации»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отказано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следующим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основаниям: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tbl>
      <w:tblPr>
        <w:tblW w:w="504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5301"/>
        <w:gridCol w:w="232"/>
        <w:gridCol w:w="2628"/>
        <w:gridCol w:w="79"/>
      </w:tblGrid>
      <w:tr>
        <w:tblPrEx/>
        <w:trPr>
          <w:gridAfter w:val="1"/>
          <w:trHeight w:val="8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 пункта административного 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7" w:type="pct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 основания для отказа в соответствии с административным регламентом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Разъяснение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причин отказа в приеме 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12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представленные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утратили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силу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обращения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получением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(документ,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удостоверяющий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личность;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удостоверяющий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полномочия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представителя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заявителя,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обращения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получением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услуги указанным лицом)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 исчерпывающий перечень документов, утративших 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12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7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содержат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 недостоверные и (или) противоречивые сведения,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подчистки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исправления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текста, повреждения, наличие которых не позволяет в полном объеме получить информацию и сведения, содержащиеся 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 исчерпывающий перечень документов, содержащих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недостоверные и (или) противоречивые сведения,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подчистки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исправления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текста, повреждения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12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37" w:type="pct"/>
            <w:textDirection w:val="lrTb"/>
            <w:noWrap w:val="false"/>
          </w:tcPr>
          <w:p>
            <w:pPr>
              <w:ind w:right="40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епредставление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являющихся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9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 исчерпывающий перечень документов, не представленных заявителем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1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неполное, некорректное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заполнение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полей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присвоении объекту адресации адреса или аннулировании его адреса, в том числе в интерактивной форме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заявления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Едином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портале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Указываются основания такого вывода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1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присвоении объекту адресации адреса или аннулировании его адреса представлено в орган местного самоуправления, 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полномочия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которого 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входит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муниципальной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Указывается, какое ведомство, организация предоставляет услугу, информация о его местонахождении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13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14" w:type="pct"/>
            <w:textDirection w:val="lrTb"/>
            <w:noWrap w:val="false"/>
          </w:tcPr>
          <w:p>
            <w:pPr>
              <w:jc w:val="both"/>
              <w:spacing w:after="0" w:line="13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выявлено несоблюдение установленных статьей 11 Федерального закона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 06.04.2011 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№ 63 -ФЗ «Об электронной подписи»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условий признания квалифицированной электронной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подписи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действительной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документах,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представленных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pct"/>
            <w:textDirection w:val="lrTb"/>
            <w:noWrap w:val="false"/>
          </w:tcPr>
          <w:p>
            <w:pPr>
              <w:jc w:val="both"/>
              <w:spacing w:after="0" w:line="13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 исчерпывающий перечень электронных документов, не соответствующих указанному критерию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подпункт «ж»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пункта 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1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несоответствие заявителя кругу лиц, указанных в административном регламенте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Указываются основания такого вывода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Дополнительно</w:t>
      </w:r>
      <w:r>
        <w:rPr>
          <w:rFonts w:ascii="Times New Roman" w:hAnsi="Times New Roman" w:eastAsia="Times New Roman" w:cs="Times New Roman"/>
          <w:spacing w:val="6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информируем:_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(указывается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необходимая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устранения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причин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отказа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приеме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документов,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также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дополнительная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9525"/>
                <wp:effectExtent l="0" t="0" r="0" b="0"/>
                <wp:docPr id="2" name="AutoShap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114.0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33650" cy="9525"/>
                <wp:effectExtent l="0" t="0" r="0" b="0"/>
                <wp:docPr id="3" name="AutoShap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336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199.5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9525"/>
                <wp:effectExtent l="0" t="0" r="0" b="0"/>
                <wp:docPr id="4" name="AutoShap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114.0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(должность) (подпись) (фамилия,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имя,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отчество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(при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 А Я В Л Е Н И 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 оставлении заявления о присвоении объекту адресации адреса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 аннулировании его адреса без рассмотрения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«___» 20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300" cy="57150"/>
                <wp:effectExtent l="0" t="0" r="0" b="0"/>
                <wp:docPr id="5" name="AutoShap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8293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459.00pt;height:4.5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Администрация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Маслянинского Муниципального округа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 оставить заявление о присвоении объекту адресации адреса или аннулировании его адреса от ________________№_____________ без рассмотрения.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(дата и номер регистрации)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5307"/>
        <w:gridCol w:w="2954"/>
      </w:tblGrid>
      <w:tr>
        <w:tblPrEx/>
        <w:trPr>
          <w:cantSplit/>
          <w:trHeight w:val="540"/>
        </w:trPr>
        <w:tc>
          <w:tcPr>
            <w:gridSpan w:val="3"/>
            <w:tcBorders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Сведения о заявителе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6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физическом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4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Фамилия,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(при наличии)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7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удостоверяющего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258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(не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указываются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случае,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является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индивидуальным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предпринимателем)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6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регистрационный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индивидуального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предпринимателя,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индивидуальным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предпринимателем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2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1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1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1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6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регистрационный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  <w:trHeight w:val="9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68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Идентификационный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налогоплательщика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почты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связи:_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 прошу: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5"/>
        <w:gridCol w:w="426"/>
      </w:tblGrid>
      <w:tr>
        <w:tblPrEx/>
        <w:trPr>
          <w:trHeight w:val="8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направить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личный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кабинет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 федеральной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информационной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«Единый портал государственных и муниципальных услуг (функций)»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выдать на бумажном носителе при личном обращении в уполномоченный орган либо в 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ru-RU"/>
              </w:rPr>
              <w:t xml:space="preserve">филиал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государственного автономного учреждения Новосибирской области 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Многофункциональный центр организации предоставления государственных и муниципальных услуг Новосибирской области» рабочего поселка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Маслянино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направить на бумажном носителе на почтовый адрес: 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один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перечисленных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способов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3"/>
          <w:szCs w:val="13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33650" cy="9525"/>
                <wp:effectExtent l="0" t="0" r="0" b="0"/>
                <wp:docPr id="6" name="AutoShap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336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199.5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br/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9525"/>
                <wp:effectExtent l="0" t="0" r="0" b="0"/>
                <wp:docPr id="7" name="AutoShap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114.0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13"/>
          <w:szCs w:val="13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 (фамилия,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имя,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отчество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(при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Реквизиты бланка Кому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________________________________________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 имя, отчество (при наличии) заявителя, ОГРНИП</w:t>
      </w:r>
      <w:r>
        <w:rPr>
          <w:rFonts w:ascii="Times New Roman" w:hAnsi="Times New Roman" w:eastAsia="Times New Roman" w:cs="Times New Roman"/>
          <w:spacing w:val="-47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(для физического лица, зарегистрированного в качестве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индивидуального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предпринимателя)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физического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лица,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полное наименование заявителя, ИНН,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0" cy="66675"/>
                <wp:effectExtent l="0" t="0" r="0" b="0"/>
                <wp:docPr id="8" name="AutoShap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8610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243.00pt;height:5.2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ОГРН – 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юридического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лица,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 индекс и адрес,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телефон, адрес электронной</w:t>
      </w:r>
      <w:r>
        <w:rPr>
          <w:rFonts w:ascii="Times New Roman" w:hAnsi="Times New Roman" w:eastAsia="Times New Roman" w:cs="Times New Roman"/>
          <w:spacing w:val="-47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 Е Ш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 Н И 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 оставлении заявления о присвоении объекту адресации адреса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 аннулировании его адреса без рассмотрения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 результатам рассмотрения заявления от _______________ № 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(дата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 оставлении заявления о присвоении объекту адресации адреса или аннулировании его адреса без рассмотрения администрацией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принято решение об оставлении заявления о присвоении объекту адресации адреса или аннулировании его адреса от _____________ № 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(дата и номер регистрации) без рассмотрения.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9525"/>
                <wp:effectExtent l="0" t="0" r="0" b="0"/>
                <wp:docPr id="9" name="AutoShap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114.0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33650" cy="9525"/>
                <wp:effectExtent l="0" t="0" r="0" b="0"/>
                <wp:docPr id="10" name="AutoShap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336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1" type="#_x0000_t1" style="width:199.5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9525"/>
                <wp:effectExtent l="0" t="0" r="0" b="0"/>
                <wp:docPr id="11" name="AutoShap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0" o:spid="_x0000_s10" o:spt="1" type="#_x0000_t1" style="width:114.00pt;height:0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(должность) (подпись) (фамилия,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имя,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отчество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(при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368" w:hanging="36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528" w:hanging="36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688" w:hanging="360"/>
        <w:tabs>
          <w:tab w:val="num" w:pos="6688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4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>
    <w:name w:val="Normal (Web)"/>
    <w:basedOn w:val="64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8" w:customStyle="1">
    <w:name w:val="u"/>
    <w:basedOn w:val="6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9">
    <w:name w:val="Hyperlink"/>
    <w:basedOn w:val="644"/>
    <w:uiPriority w:val="99"/>
    <w:semiHidden/>
    <w:unhideWhenUsed/>
    <w:rPr>
      <w:color w:val="0000ff"/>
      <w:u w:val="single"/>
    </w:rPr>
  </w:style>
  <w:style w:type="character" w:styleId="650">
    <w:name w:val="FollowedHyperlink"/>
    <w:basedOn w:val="644"/>
    <w:uiPriority w:val="99"/>
    <w:semiHidden/>
    <w:unhideWhenUsed/>
    <w:rPr>
      <w:color w:val="800080"/>
      <w:u w:val="single"/>
    </w:rPr>
  </w:style>
  <w:style w:type="character" w:styleId="651" w:customStyle="1">
    <w:name w:val="Гиперссылка1"/>
    <w:basedOn w:val="644"/>
  </w:style>
  <w:style w:type="paragraph" w:styleId="652" w:customStyle="1">
    <w:name w:val="consplusnormal"/>
    <w:basedOn w:val="6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3" w:customStyle="1">
    <w:name w:val="No Spacing"/>
    <w:basedOn w:val="6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 w:customStyle="1">
    <w:name w:val="1timesnewroman12"/>
    <w:basedOn w:val="6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5">
    <w:name w:val="Strong"/>
    <w:basedOn w:val="644"/>
    <w:uiPriority w:val="22"/>
    <w:qFormat/>
    <w:rPr>
      <w:b/>
      <w:bCs/>
    </w:rPr>
  </w:style>
  <w:style w:type="paragraph" w:styleId="656">
    <w:name w:val="Balloon Text"/>
    <w:basedOn w:val="643"/>
    <w:link w:val="6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7" w:customStyle="1">
    <w:name w:val="Текст выноски Знак"/>
    <w:basedOn w:val="644"/>
    <w:link w:val="6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s://pravo-search.minjust.ru/bigs/showDocument.html?id=3AC034BB-A234-408B-BA7A-E5005E39A97B" TargetMode="External"/><Relationship Id="rId15" Type="http://schemas.openxmlformats.org/officeDocument/2006/relationships/hyperlink" Target="https://pravo-search.minjust.ru/bigs/showDocument.html?id=03CF0FB8-17D5-46F6-A5EC-D1642676534B" TargetMode="External"/><Relationship Id="rId16" Type="http://schemas.openxmlformats.org/officeDocument/2006/relationships/hyperlink" Target="https://pravo-search.minjust.ru/bigs/showDocument.html?id=03CF0FB8-17D5-46F6-A5EC-D1642676534B" TargetMode="External"/><Relationship Id="rId17" Type="http://schemas.openxmlformats.org/officeDocument/2006/relationships/hyperlink" Target="https://pravo-search.minjust.ru/bigs/showDocument.html?id=03CF0FB8-17D5-46F6-A5EC-D1642676534B" TargetMode="External"/><Relationship Id="rId18" Type="http://schemas.openxmlformats.org/officeDocument/2006/relationships/hyperlink" Target="https://pravo-search.minjust.ru/bigs/showDocument.html?id=03CF0FB8-17D5-46F6-A5EC-D1642676534B" TargetMode="External"/><Relationship Id="rId19" Type="http://schemas.openxmlformats.org/officeDocument/2006/relationships/hyperlink" Target="https://pravo-search.minjust.ru/bigs/showDocument.html?id=03CF0FB8-17D5-46F6-A5EC-D1642676534B" TargetMode="External"/><Relationship Id="rId20" Type="http://schemas.openxmlformats.org/officeDocument/2006/relationships/hyperlink" Target="https://pravo-search.minjust.ru/bigs/showDocument.html?id=03CF0FB8-17D5-46F6-A5EC-D1642676534B" TargetMode="External"/><Relationship Id="rId21" Type="http://schemas.openxmlformats.org/officeDocument/2006/relationships/hyperlink" Target="https://pravo-search.minjust.ru/bigs/showDocument.html?id=03CF0FB8-17D5-46F6-A5EC-D1642676534B" TargetMode="External"/><Relationship Id="rId22" Type="http://schemas.openxmlformats.org/officeDocument/2006/relationships/hyperlink" Target="https://pravo-search.minjust.ru/bigs/showDocument.html?id=03CF0FB8-17D5-46F6-A5EC-D1642676534B" TargetMode="External"/><Relationship Id="rId23" Type="http://schemas.openxmlformats.org/officeDocument/2006/relationships/hyperlink" Target="https://pravo-search.minjust.ru/bigs/showDocument.html?id=BBA0BFB1-06C7-4E50-A8D3-FE1045784BF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760E-2738-4A5B-BFEF-835C919D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iuristao</dc:creator>
  <cp:keywords/>
  <dc:description/>
  <cp:lastModifiedBy>economsvodreestr</cp:lastModifiedBy>
  <cp:revision>5</cp:revision>
  <dcterms:created xsi:type="dcterms:W3CDTF">2025-03-17T09:54:00Z</dcterms:created>
  <dcterms:modified xsi:type="dcterms:W3CDTF">2025-10-24T02:05:39Z</dcterms:modified>
</cp:coreProperties>
</file>