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b w:val="0"/>
          <w:bCs w:val="0"/>
          <w:i w:val="0"/>
          <w:iCs w:val="0"/>
          <w:u w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b/>
        </w:rPr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о переводе жилого помещения в нежилое помещение и нежилого помещения в жилое помещение»</w:t>
      </w:r>
      <w:r>
        <w:rPr>
          <w:rFonts w:ascii="Times New Roman" w:hAnsi="Times New Roman"/>
          <w:sz w:val="28"/>
          <w:szCs w:val="28"/>
        </w:rPr>
        <w:t xml:space="preserve">.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u w:val="none"/>
        </w:rPr>
      </w:r>
      <w:r/>
      <w:r>
        <w:rPr>
          <w:b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2025-04-04T10:03:11Z</dcterms:modified>
</cp:coreProperties>
</file>