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u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городским поселением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р.п. Маслянино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0"/>
          <w:szCs w:val="20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1" w:firstLine="0"/>
        <w:jc w:val="both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 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б утверждении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а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</w:rPr>
        <w:t xml:space="preserve">дминистративн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</w:rPr>
        <w:t xml:space="preserve">ого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</w:rPr>
        <w:t xml:space="preserve"> регламент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</w:rPr>
        <w:t xml:space="preserve">а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</w:rPr>
        <w:t xml:space="preserve">предоставления муниципальной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«Присвоение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аннулирование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адресов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адресации»</w:t>
      </w:r>
      <w:r>
        <w:rPr>
          <w:rStyle w:val="929"/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«25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октября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«23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ноября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character" w:styleId="929" w:customStyle="1">
    <w:name w:val="markedcontent"/>
    <w:basedOn w:val="873"/>
    <w:rPr>
      <w:color w:val="0000ff"/>
      <w:u w:val="single"/>
    </w:rPr>
  </w:style>
  <w:style w:type="paragraph" w:styleId="930" w:customStyle="1">
    <w:name w:val="Обычный (веб)"/>
    <w:basedOn w:val="872"/>
    <w:next w:val="879"/>
    <w:link w:val="87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31</cp:revision>
  <dcterms:created xsi:type="dcterms:W3CDTF">2017-03-06T06:40:00Z</dcterms:created>
  <dcterms:modified xsi:type="dcterms:W3CDTF">2025-10-24T02:21:57Z</dcterms:modified>
</cp:coreProperties>
</file>