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1964"/>
        <w:gridCol w:w="1964"/>
        <w:gridCol w:w="2013"/>
        <w:gridCol w:w="1532"/>
        <w:gridCol w:w="484"/>
        <w:gridCol w:w="1964"/>
      </w:tblGrid>
      <w:tr>
        <w:tblPrEx/>
        <w:trPr>
          <w:trHeight w:val="1075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textDirection w:val="lrTb"/>
            <w:noWrap w:val="false"/>
          </w:tcPr>
          <w:p>
            <w:pPr>
              <w:pStyle w:val="879"/>
              <w:jc w:val="center"/>
              <w:spacing w:before="0" w:after="0"/>
              <w:rPr>
                <w:sz w:val="2"/>
                <w:szCs w:val="2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3560" cy="65532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3560" cy="655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80pt;height:51.60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sz w:val="2"/>
                <w:szCs w:val="2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textDirection w:val="lrTb"/>
            <w:noWrap w:val="false"/>
          </w:tcPr>
          <w:p>
            <w:pPr>
              <w:pStyle w:val="879"/>
              <w:jc w:val="center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ЗДРАВООХРАНЕНИЯ НОВОСИБИРСКОЙ ОБЛАСТИ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18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18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25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57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019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137" w:type="dxa"/>
            <w:textDirection w:val="lrTb"/>
            <w:noWrap w:val="false"/>
          </w:tcPr>
          <w:p>
            <w:pPr>
              <w:pStyle w:val="721"/>
              <w:ind w:right="0"/>
            </w:pPr>
            <w:r>
              <w:t xml:space="preserve">ПРИКАЗ</w:t>
            </w:r>
            <w:r/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573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4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879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018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018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pStyle w:val="879"/>
              <w:jc w:val="center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г. Новосибирск</w:t>
            </w:r>
            <w:r>
              <w:rPr>
                <w:szCs w:val="24"/>
              </w:rPr>
            </w:r>
          </w:p>
        </w:tc>
        <w:tc>
          <w:tcPr>
            <w:gridSpan w:val="2"/>
            <w:tcW w:w="2057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019" w:type="dxa"/>
            <w:textDirection w:val="lrTb"/>
            <w:noWrap w:val="false"/>
          </w:tcPr>
          <w:p>
            <w:pPr>
              <w:pStyle w:val="879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pStyle w:val="879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медицинской деятельности, связанной с донорством 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органов человека и оказанием медицинской помощи по профилю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«хирургия (трансплантация органов и (или) тканей человека)» </w:t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Новосибирской области</w:t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6"/>
        <w:ind w:firstLine="709"/>
        <w:jc w:val="both"/>
        <w:spacing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от 22.12.1992 № 4180-1 «О трансплантации органов и (или) тканей человека», Федеральным законом от 21.11.2011 № 323-ФЗ «Об о</w:t>
      </w:r>
      <w:r>
        <w:rPr>
          <w:sz w:val="28"/>
          <w:szCs w:val="28"/>
        </w:rPr>
        <w:t xml:space="preserve">сновах охраны здоровья граждан в Российской Федерации»,</w:t>
      </w:r>
      <w:r>
        <w:t xml:space="preserve">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риказ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Мин</w:t>
      </w:r>
      <w:r>
        <w:rPr>
          <w:sz w:val="28"/>
          <w:szCs w:val="28"/>
        </w:rPr>
        <w:t xml:space="preserve">истерства здравоохранения и социального развития Российской Федерации </w:t>
      </w:r>
      <w:r>
        <w:rPr>
          <w:sz w:val="28"/>
          <w:szCs w:val="28"/>
        </w:rPr>
        <w:t xml:space="preserve">от 25.05.2007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358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медицинском заключении о необходимости трансплантации о</w:t>
      </w:r>
      <w:r>
        <w:rPr>
          <w:sz w:val="28"/>
          <w:szCs w:val="28"/>
        </w:rPr>
        <w:t xml:space="preserve">рганов и (или) тканей человека», </w:t>
      </w:r>
      <w:r>
        <w:rPr>
          <w:sz w:val="28"/>
          <w:szCs w:val="28"/>
        </w:rPr>
        <w:t xml:space="preserve">приказами Министерства здравоохранения Российской Федерации от 31.10.2012 № 567н «Об утверждении порядка оказания медицинской помощи по профилю «хирургия (трансплантация органов и (или) тканей человек</w:t>
      </w:r>
      <w:r>
        <w:rPr>
          <w:sz w:val="28"/>
          <w:szCs w:val="28"/>
        </w:rPr>
        <w:t xml:space="preserve">а)», от 08.06.2016 № 355н «Об утверждении порядка учета донорских органов и тканей человека, доноров органов и тканей, пациентов (реципиентов), форм медицинской документации и формы статистической отчетности в целях осуществления учета донорских органов и </w:t>
      </w:r>
      <w:r>
        <w:rPr>
          <w:sz w:val="28"/>
          <w:szCs w:val="28"/>
        </w:rPr>
        <w:t xml:space="preserve">тканей человека, доноров органов и тканей, пациентов (реципиентов) и порядка их заполнения»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от 27.07.2022 № 508н </w:t>
      </w:r>
      <w:r>
        <w:rPr>
          <w:sz w:val="28"/>
          <w:szCs w:val="28"/>
          <w:highlight w:val="white"/>
        </w:rPr>
        <w:t xml:space="preserve">«Об утверждении Порядка дачи письменного информированного добровольного согласия на трансплантацию органов и (или) тканей человека, формы письменного информированного добровольного согласия на трансплантацию органов и (или) тканей человека», от 29.07.2022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 519н</w:t>
      </w:r>
      <w:r>
        <w:rPr>
          <w:sz w:val="28"/>
          <w:szCs w:val="28"/>
          <w:highlight w:val="white"/>
        </w:rPr>
        <w:t xml:space="preserve"> «</w:t>
      </w:r>
      <w:r>
        <w:rPr>
          <w:sz w:val="28"/>
          <w:szCs w:val="28"/>
          <w:highlight w:val="white"/>
        </w:rPr>
        <w:t xml:space="preserve">Об утверждении Порядка проведения медицинского обследования донора, давшего письменное информированное добровольное согласие на изъятие своих органов и (</w:t>
      </w:r>
      <w:r>
        <w:rPr>
          <w:sz w:val="28"/>
          <w:szCs w:val="28"/>
          <w:highlight w:val="white"/>
        </w:rPr>
        <w:t xml:space="preserve">или) тканей для трансплантации»</w:t>
      </w:r>
      <w:r>
        <w:rPr>
          <w:sz w:val="28"/>
          <w:szCs w:val="28"/>
          <w:highlight w:val="white"/>
        </w:rPr>
        <w:t xml:space="preserve">, в целях совершенствования организации медицинской деятельности, связанной с</w:t>
      </w:r>
      <w:r>
        <w:rPr>
          <w:sz w:val="28"/>
          <w:szCs w:val="28"/>
        </w:rPr>
        <w:t xml:space="preserve"> донорством органов человека в целях трансплантации, </w:t>
      </w:r>
      <w:r>
        <w:rPr>
          <w:b/>
          <w:sz w:val="28"/>
          <w:szCs w:val="28"/>
        </w:rPr>
        <w:t xml:space="preserve">п р и к а з ы в а ю:</w:t>
      </w:r>
      <w:r>
        <w:rPr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 Утвердить: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Положение об организации медицинской деятельности, связанной с донорством органов человека в целях трансплантации, в государственных медицинских организациях Новосибирской области согласно приложению №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1;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Реестр государственных медицинских организаци</w:t>
      </w:r>
      <w:r>
        <w:rPr>
          <w:rFonts w:ascii="Times New Roman" w:hAnsi="Times New Roman"/>
          <w:sz w:val="28"/>
          <w:szCs w:val="28"/>
        </w:rPr>
        <w:t xml:space="preserve">й Новосибирской области, участвующих в обеспечении медицинской деятельности, связанной с </w:t>
      </w:r>
      <w:r>
        <w:rPr>
          <w:rFonts w:ascii="Times New Roman" w:hAnsi="Times New Roman"/>
          <w:sz w:val="28"/>
          <w:szCs w:val="28"/>
        </w:rPr>
        <w:t xml:space="preserve">донорством органов человека в целях трансплантации (далее – Реестр), согласно приложению № 2;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Регламент оказания медицинской помощи по профилю «хирургия (трансплант</w:t>
      </w:r>
      <w:r>
        <w:rPr>
          <w:rFonts w:ascii="Times New Roman" w:hAnsi="Times New Roman"/>
          <w:sz w:val="28"/>
          <w:szCs w:val="28"/>
        </w:rPr>
        <w:t xml:space="preserve">ация органов и (или) тканей человека)» в Новосибирской области согласно приложению № 3;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Формы документов, подлежащих оформлению в процессе осуществления деятельности, связанной с донорством органов человека в целях трансплантации, в государственных меди</w:t>
      </w:r>
      <w:r>
        <w:rPr>
          <w:rFonts w:ascii="Times New Roman" w:hAnsi="Times New Roman"/>
          <w:sz w:val="28"/>
          <w:szCs w:val="28"/>
        </w:rPr>
        <w:t xml:space="preserve">цинских организациях Новосибирской области согласно приложению № 4.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Определить государственное бюджетное учреждения здравоохранения Новосибирской области «Государственная Новосибирская областная клиническая больница» (далее – ГБУЗ НСО «ГНОКБ») региональ</w:t>
      </w:r>
      <w:r>
        <w:rPr>
          <w:rFonts w:ascii="Times New Roman" w:hAnsi="Times New Roman"/>
          <w:sz w:val="28"/>
          <w:szCs w:val="28"/>
        </w:rPr>
        <w:t xml:space="preserve">ным центром координации органного донорства на территории Новосибирской области (далее - РЦОД).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Главным врачам государственных медицинских организаций Новосибирской области, включенных в Реестр: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обеспечить организацию медицинской деятельности, связан</w:t>
      </w:r>
      <w:r>
        <w:rPr>
          <w:rFonts w:ascii="Times New Roman" w:hAnsi="Times New Roman"/>
          <w:sz w:val="28"/>
          <w:szCs w:val="28"/>
        </w:rPr>
        <w:t xml:space="preserve">ной с донорством органов человека, в строгом соответствии с приложением № 1 к настоящему приказу;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2) назначить из числа заместителей главного врача ответственного коорди</w:t>
      </w:r>
      <w:r>
        <w:rPr>
          <w:rFonts w:ascii="Times New Roman" w:hAnsi="Times New Roman"/>
          <w:sz w:val="28"/>
          <w:szCs w:val="28"/>
          <w:highlight w:val="white"/>
        </w:rPr>
        <w:t xml:space="preserve">натора по донорству органов человека в целях трансплантации;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3) </w:t>
      </w:r>
      <w:r>
        <w:rPr>
          <w:rFonts w:ascii="Times New Roman" w:hAnsi="Times New Roman"/>
          <w:sz w:val="28"/>
          <w:szCs w:val="28"/>
          <w:highlight w:val="white"/>
        </w:rPr>
        <w:t xml:space="preserve">внести дополнения в должностные инструкции заведующего отделением анестезиологии и реанимации, врачей-анестезиологов-реаниматологов в части возложения обязанностей по выявлению возможных и потенциальных доноров, своевременному предоставлению данной информа</w:t>
      </w:r>
      <w:r>
        <w:rPr>
          <w:rFonts w:ascii="Times New Roman" w:hAnsi="Times New Roman"/>
          <w:sz w:val="28"/>
          <w:szCs w:val="28"/>
          <w:highlight w:val="white"/>
        </w:rPr>
        <w:t xml:space="preserve">ции в РЦОД, установлению </w:t>
      </w:r>
      <w:r>
        <w:rPr>
          <w:rFonts w:ascii="Times New Roman" w:hAnsi="Times New Roman"/>
          <w:sz w:val="28"/>
          <w:szCs w:val="28"/>
        </w:rPr>
        <w:t xml:space="preserve">диагноза смерти мозга у пациентов с необратимыми повреждениями головного мозга и кондиционированию потенциальных доноров;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ежемесячно, в срок до 5 числа месяца, следующего за отчетным, предоставлять в ГБУЗ НСО «ГНОКБ» (с пометкой</w:t>
      </w:r>
      <w:r>
        <w:rPr>
          <w:rFonts w:ascii="Times New Roman" w:hAnsi="Times New Roman"/>
          <w:sz w:val="28"/>
          <w:szCs w:val="28"/>
        </w:rPr>
        <w:t xml:space="preserve"> «для РЦОД») отчет обо всех пациентах, умерших от последствий первичных и вторичных повреждений головного мозга любого генеза по утвержденной форме согласно приложению № 4 к настоящему приказу.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Начальнику государственного бюджетного учреждения здравоохр</w:t>
      </w:r>
      <w:r>
        <w:rPr>
          <w:rFonts w:ascii="Times New Roman" w:hAnsi="Times New Roman"/>
          <w:sz w:val="28"/>
          <w:szCs w:val="28"/>
        </w:rPr>
        <w:t xml:space="preserve">анения Новосибирской области «Новосибирское областное клиническое бюро судебно-медицинской экспертизы» (далее – ГБУЗ НСО «НОКБСМЭ») </w:t>
      </w:r>
      <w:r>
        <w:rPr>
          <w:rFonts w:ascii="Times New Roman" w:hAnsi="Times New Roman"/>
          <w:sz w:val="28"/>
          <w:szCs w:val="28"/>
        </w:rPr>
        <w:t xml:space="preserve">Кошляку</w:t>
      </w:r>
      <w:r>
        <w:rPr>
          <w:rFonts w:ascii="Times New Roman" w:hAnsi="Times New Roman"/>
          <w:sz w:val="28"/>
          <w:szCs w:val="28"/>
        </w:rPr>
        <w:t xml:space="preserve"> Д.А.: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организовать в круглосуточном режиме привлечение врача - судебно-медицинского эксперта для принятия решения</w:t>
      </w:r>
      <w:r>
        <w:rPr>
          <w:rFonts w:ascii="Times New Roman" w:hAnsi="Times New Roman"/>
          <w:sz w:val="28"/>
          <w:szCs w:val="28"/>
        </w:rPr>
        <w:t xml:space="preserve"> о возможности изъятия донорских органов и (или) тканей у потенциального донора (в случаях, предусмотренных Законом Российской Федерации от 22.12.1992 № 4180-1 «О трансплантации органов и (или) тканей человека»);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контролировать все случаи уведомления пр</w:t>
      </w:r>
      <w:r>
        <w:rPr>
          <w:rFonts w:ascii="Times New Roman" w:hAnsi="Times New Roman"/>
          <w:sz w:val="28"/>
          <w:szCs w:val="28"/>
        </w:rPr>
        <w:t xml:space="preserve">окурора судебно-медицинским экспертом о факте изъятия органов и (или) тканей у трупа по форме согласно приложению № 4 к настоящему приказу; 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ежемесячно, в срок до 5 числа месяца, следующего за отчетным, предоставлять в ГБУЗ НСО «ГНОКБ» (с пометкой «для </w:t>
      </w:r>
      <w:r>
        <w:rPr>
          <w:rFonts w:ascii="Times New Roman" w:hAnsi="Times New Roman"/>
          <w:sz w:val="28"/>
          <w:szCs w:val="28"/>
        </w:rPr>
        <w:t xml:space="preserve">РЦОД») отчет о </w:t>
      </w:r>
      <w:r>
        <w:rPr>
          <w:rFonts w:ascii="Times New Roman" w:hAnsi="Times New Roman"/>
          <w:sz w:val="28"/>
          <w:szCs w:val="28"/>
        </w:rPr>
        <w:t xml:space="preserve">результатах, проведенных в ГБУЗ НСО «НОКБСМЭ» </w:t>
      </w:r>
      <w:r>
        <w:rPr>
          <w:rFonts w:ascii="Times New Roman" w:hAnsi="Times New Roman"/>
          <w:sz w:val="28"/>
          <w:szCs w:val="28"/>
        </w:rPr>
        <w:t xml:space="preserve">судебно-медицинских исследований</w:t>
      </w:r>
      <w:r>
        <w:rPr>
          <w:rFonts w:ascii="Times New Roman" w:hAnsi="Times New Roman"/>
          <w:sz w:val="28"/>
          <w:szCs w:val="28"/>
        </w:rPr>
        <w:t xml:space="preserve"> умерших от последствий первичных и вторичных повреждений головного мозга любого генеза в государственных медицинских организациях Новосибирской области, включенны</w:t>
      </w:r>
      <w:r>
        <w:rPr>
          <w:rFonts w:ascii="Times New Roman" w:hAnsi="Times New Roman"/>
          <w:sz w:val="28"/>
          <w:szCs w:val="28"/>
        </w:rPr>
        <w:t xml:space="preserve">х в Реестр, по форме согласно приложению № 4 к настоящему приказу.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Главному врачу ГБУЗ НСО «ГНОКБ» Юданову А.В.: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организовать работу по координации органного донорства согласно приложению № 1 к настоящему приказу;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ежеквартально, в срок до 10 числа</w:t>
      </w:r>
      <w:r>
        <w:rPr>
          <w:rFonts w:ascii="Times New Roman" w:hAnsi="Times New Roman"/>
          <w:sz w:val="28"/>
          <w:szCs w:val="28"/>
        </w:rPr>
        <w:t xml:space="preserve"> месяца, следующего за отчетным, предоставлять в министерство здравоохранения Новосибирской области информацию о деятельности по координации органного донорства по форме согласно приложению № 4 к настоящему приказу.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Заместителю министра здравоохранения </w:t>
      </w:r>
      <w:r>
        <w:rPr>
          <w:rFonts w:ascii="Times New Roman" w:hAnsi="Times New Roman"/>
          <w:sz w:val="28"/>
          <w:szCs w:val="28"/>
        </w:rPr>
        <w:t xml:space="preserve">Новосибирской области Колупаеву А.В. предусмотреть финансирование РЦОД за счет субвенции из бюджета Новосибирской области.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Признать утратившим силу приказ министерства здравоохранения Новосибирской области от 12.10.2016 № </w:t>
      </w:r>
      <w:r>
        <w:rPr>
          <w:rFonts w:ascii="Times New Roman" w:hAnsi="Times New Roman"/>
          <w:sz w:val="28"/>
          <w:szCs w:val="28"/>
        </w:rPr>
        <w:t xml:space="preserve">2720 «Об организации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государственных медицинских организациях Новосибирской област</w:t>
      </w:r>
      <w:r>
        <w:rPr>
          <w:rFonts w:ascii="Times New Roman" w:hAnsi="Times New Roman"/>
          <w:sz w:val="28"/>
          <w:szCs w:val="28"/>
        </w:rPr>
        <w:t xml:space="preserve">и».</w:t>
      </w:r>
      <w:r>
        <w:rPr>
          <w:rFonts w:ascii="Times New Roman" w:hAnsi="Times New Roman"/>
          <w:sz w:val="28"/>
          <w:szCs w:val="28"/>
        </w:rPr>
      </w:r>
    </w:p>
    <w:p>
      <w:pPr>
        <w:pStyle w:val="8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оставляю за собой.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pStyle w:val="87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Р.М. Заблоцкий</w:t>
      </w:r>
      <w:r>
        <w:rPr>
          <w:sz w:val="28"/>
          <w:szCs w:val="28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79"/>
        <w:jc w:val="both"/>
        <w:spacing w:before="0" w:after="0"/>
        <w:rPr>
          <w:sz w:val="20"/>
        </w:rPr>
      </w:pPr>
      <w:r/>
      <w:bookmarkStart w:id="0" w:name="_GoBack"/>
      <w:r/>
      <w:bookmarkEnd w:id="0"/>
      <w:r>
        <w:rPr>
          <w:sz w:val="20"/>
        </w:rPr>
        <w:t xml:space="preserve">О.И. Отченашенко</w:t>
      </w:r>
      <w:r>
        <w:rPr>
          <w:sz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(383) 238 62 61</w:t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58020357"/>
      <w:docPartObj>
        <w:docPartGallery w:val="Page Numbers (Top of Page)"/>
        <w:docPartUnique w:val="true"/>
      </w:docPartObj>
      <w:rPr/>
    </w:sdtPr>
    <w:sdtContent>
      <w:p>
        <w:pPr>
          <w:pStyle w:val="72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1" w:default="1">
    <w:name w:val="Normal"/>
    <w:qFormat/>
    <w:rPr>
      <w:sz w:val="24"/>
      <w:szCs w:val="24"/>
    </w:rPr>
  </w:style>
  <w:style w:type="paragraph" w:styleId="682">
    <w:name w:val="Heading 1"/>
    <w:basedOn w:val="681"/>
    <w:next w:val="681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710"/>
    <w:qFormat/>
    <w:pPr>
      <w:jc w:val="right"/>
      <w:keepNext/>
      <w:outlineLvl w:val="1"/>
    </w:pPr>
    <w:rPr>
      <w:sz w:val="28"/>
    </w:rPr>
  </w:style>
  <w:style w:type="paragraph" w:styleId="684">
    <w:name w:val="Heading 3"/>
    <w:basedOn w:val="681"/>
    <w:next w:val="681"/>
    <w:link w:val="71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85">
    <w:name w:val="Heading 4"/>
    <w:basedOn w:val="681"/>
    <w:next w:val="681"/>
    <w:link w:val="88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86">
    <w:name w:val="Heading 5"/>
    <w:basedOn w:val="681"/>
    <w:next w:val="681"/>
    <w:link w:val="7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7">
    <w:name w:val="Heading 6"/>
    <w:basedOn w:val="681"/>
    <w:next w:val="681"/>
    <w:link w:val="895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688">
    <w:name w:val="Heading 7"/>
    <w:basedOn w:val="681"/>
    <w:next w:val="681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681"/>
    <w:next w:val="681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681"/>
    <w:next w:val="681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Heading 1 Char"/>
    <w:basedOn w:val="691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Heading 2 Char"/>
    <w:basedOn w:val="691"/>
    <w:uiPriority w:val="9"/>
    <w:rPr>
      <w:rFonts w:ascii="Arial" w:hAnsi="Arial" w:eastAsia="Arial" w:cs="Arial"/>
      <w:sz w:val="34"/>
    </w:rPr>
  </w:style>
  <w:style w:type="character" w:styleId="696" w:customStyle="1">
    <w:name w:val="Heading 3 Char"/>
    <w:basedOn w:val="691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Heading 5 Char"/>
    <w:basedOn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7 Char"/>
    <w:basedOn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91"/>
    <w:uiPriority w:val="9"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91"/>
    <w:uiPriority w:val="10"/>
    <w:rPr>
      <w:sz w:val="48"/>
      <w:szCs w:val="48"/>
    </w:rPr>
  </w:style>
  <w:style w:type="character" w:styleId="702" w:customStyle="1">
    <w:name w:val="Subtitle Char"/>
    <w:basedOn w:val="691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Header Char"/>
    <w:basedOn w:val="691"/>
    <w:uiPriority w:val="99"/>
  </w:style>
  <w:style w:type="character" w:styleId="706" w:customStyle="1">
    <w:name w:val="Caption Char"/>
    <w:basedOn w:val="691"/>
    <w:uiPriority w:val="35"/>
    <w:rPr>
      <w:b/>
      <w:bCs/>
      <w:color w:val="4f81bd" w:themeColor="accent1"/>
      <w:sz w:val="18"/>
      <w:szCs w:val="18"/>
    </w:rPr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Заголовок 1 Знак"/>
    <w:link w:val="682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link w:val="683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link w:val="684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681"/>
    <w:uiPriority w:val="34"/>
    <w:qFormat/>
    <w:pPr>
      <w:contextualSpacing/>
      <w:ind w:left="720"/>
    </w:pPr>
  </w:style>
  <w:style w:type="paragraph" w:styleId="719">
    <w:name w:val="Title"/>
    <w:basedOn w:val="681"/>
    <w:next w:val="681"/>
    <w:link w:val="7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0" w:customStyle="1">
    <w:name w:val="Заголовок Знак"/>
    <w:link w:val="719"/>
    <w:uiPriority w:val="10"/>
    <w:rPr>
      <w:sz w:val="48"/>
      <w:szCs w:val="48"/>
    </w:rPr>
  </w:style>
  <w:style w:type="paragraph" w:styleId="721">
    <w:name w:val="Subtitle"/>
    <w:basedOn w:val="681"/>
    <w:link w:val="722"/>
    <w:qFormat/>
    <w:pPr>
      <w:ind w:right="27"/>
      <w:jc w:val="center"/>
    </w:pPr>
    <w:rPr>
      <w:b/>
      <w:sz w:val="28"/>
    </w:rPr>
  </w:style>
  <w:style w:type="character" w:styleId="722" w:customStyle="1">
    <w:name w:val="Подзаголовок Знак"/>
    <w:link w:val="721"/>
    <w:uiPriority w:val="11"/>
    <w:rPr>
      <w:sz w:val="24"/>
      <w:szCs w:val="24"/>
    </w:rPr>
  </w:style>
  <w:style w:type="paragraph" w:styleId="723">
    <w:name w:val="Quote"/>
    <w:basedOn w:val="681"/>
    <w:next w:val="681"/>
    <w:link w:val="724"/>
    <w:uiPriority w:val="29"/>
    <w:qFormat/>
    <w:pPr>
      <w:ind w:left="720" w:right="720"/>
    </w:pPr>
    <w:rPr>
      <w:i/>
    </w:rPr>
  </w:style>
  <w:style w:type="character" w:styleId="724" w:customStyle="1">
    <w:name w:val="Цитата 2 Знак"/>
    <w:link w:val="723"/>
    <w:uiPriority w:val="29"/>
    <w:rPr>
      <w:i/>
    </w:rPr>
  </w:style>
  <w:style w:type="paragraph" w:styleId="725">
    <w:name w:val="Intense Quote"/>
    <w:basedOn w:val="681"/>
    <w:next w:val="681"/>
    <w:link w:val="7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6" w:customStyle="1">
    <w:name w:val="Выделенная цитата Знак"/>
    <w:link w:val="725"/>
    <w:uiPriority w:val="30"/>
    <w:rPr>
      <w:i/>
    </w:rPr>
  </w:style>
  <w:style w:type="paragraph" w:styleId="727">
    <w:name w:val="Header"/>
    <w:basedOn w:val="681"/>
    <w:link w:val="728"/>
    <w:uiPriority w:val="99"/>
    <w:pPr>
      <w:tabs>
        <w:tab w:val="center" w:pos="4153" w:leader="none"/>
        <w:tab w:val="right" w:pos="8306" w:leader="none"/>
      </w:tabs>
    </w:pPr>
  </w:style>
  <w:style w:type="character" w:styleId="728" w:customStyle="1">
    <w:name w:val="Верхний колонтитул Знак"/>
    <w:link w:val="727"/>
    <w:uiPriority w:val="99"/>
  </w:style>
  <w:style w:type="paragraph" w:styleId="729">
    <w:name w:val="Footer"/>
    <w:basedOn w:val="68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0" w:customStyle="1">
    <w:name w:val="Footer Char"/>
    <w:uiPriority w:val="99"/>
  </w:style>
  <w:style w:type="paragraph" w:styleId="731">
    <w:name w:val="Caption"/>
    <w:basedOn w:val="681"/>
    <w:next w:val="681"/>
    <w:link w:val="73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32" w:customStyle="1">
    <w:name w:val="Название объекта Знак"/>
    <w:link w:val="731"/>
    <w:uiPriority w:val="99"/>
  </w:style>
  <w:style w:type="table" w:styleId="733">
    <w:name w:val="Table Grid"/>
    <w:basedOn w:val="692"/>
    <w:uiPriority w:val="39"/>
    <w:rPr>
      <w:rFonts w:ascii="Calibri" w:hAnsi="Calibri" w:eastAsia="Calibri"/>
      <w:sz w:val="22"/>
      <w:szCs w:val="22"/>
      <w:lang w:eastAsia="en-US"/>
    </w:rPr>
    <w:tblPr/>
  </w:style>
  <w:style w:type="table" w:styleId="73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9">
    <w:name w:val="Hyperlink"/>
    <w:rPr>
      <w:color w:val="0000ff"/>
      <w:u w:val="single"/>
    </w:rPr>
  </w:style>
  <w:style w:type="paragraph" w:styleId="860">
    <w:name w:val="footnote text"/>
    <w:basedOn w:val="681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uiPriority w:val="99"/>
    <w:unhideWhenUsed/>
    <w:rPr>
      <w:vertAlign w:val="superscript"/>
    </w:rPr>
  </w:style>
  <w:style w:type="paragraph" w:styleId="863">
    <w:name w:val="endnote text"/>
    <w:basedOn w:val="681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uiPriority w:val="99"/>
    <w:semiHidden/>
    <w:unhideWhenUsed/>
    <w:rPr>
      <w:vertAlign w:val="superscript"/>
    </w:rPr>
  </w:style>
  <w:style w:type="paragraph" w:styleId="866">
    <w:name w:val="toc 1"/>
    <w:basedOn w:val="681"/>
    <w:next w:val="681"/>
    <w:uiPriority w:val="39"/>
    <w:unhideWhenUsed/>
    <w:pPr>
      <w:spacing w:after="57"/>
    </w:pPr>
  </w:style>
  <w:style w:type="paragraph" w:styleId="867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68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69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70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71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72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73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74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  <w:rPr>
      <w:lang w:eastAsia="zh-CN"/>
    </w:rPr>
  </w:style>
  <w:style w:type="paragraph" w:styleId="876">
    <w:name w:val="table of figures"/>
    <w:basedOn w:val="681"/>
    <w:next w:val="681"/>
    <w:uiPriority w:val="99"/>
    <w:unhideWhenUsed/>
  </w:style>
  <w:style w:type="paragraph" w:styleId="877" w:customStyle="1">
    <w:name w:val="Название"/>
    <w:basedOn w:val="681"/>
    <w:link w:val="882"/>
    <w:qFormat/>
    <w:pPr>
      <w:ind w:right="27"/>
      <w:jc w:val="center"/>
    </w:pPr>
    <w:rPr>
      <w:b/>
      <w:sz w:val="28"/>
    </w:rPr>
  </w:style>
  <w:style w:type="paragraph" w:styleId="878" w:customStyle="1">
    <w:name w:val="Знак"/>
    <w:basedOn w:val="68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879" w:customStyle="1">
    <w:name w:val="Normal1"/>
    <w:pPr>
      <w:spacing w:before="100" w:after="100"/>
    </w:pPr>
    <w:rPr>
      <w:sz w:val="24"/>
    </w:rPr>
  </w:style>
  <w:style w:type="paragraph" w:styleId="880">
    <w:name w:val="No Spacing"/>
    <w:rPr>
      <w:rFonts w:ascii="Calibri" w:hAnsi="Calibri"/>
      <w:sz w:val="22"/>
      <w:szCs w:val="22"/>
    </w:rPr>
  </w:style>
  <w:style w:type="paragraph" w:styleId="881">
    <w:name w:val="Balloon Text"/>
    <w:basedOn w:val="681"/>
    <w:semiHidden/>
    <w:rPr>
      <w:rFonts w:ascii="Tahoma" w:hAnsi="Tahoma" w:cs="Tahoma"/>
      <w:sz w:val="16"/>
      <w:szCs w:val="16"/>
    </w:rPr>
  </w:style>
  <w:style w:type="character" w:styleId="882" w:customStyle="1">
    <w:name w:val="Название Знак"/>
    <w:link w:val="877"/>
    <w:rPr>
      <w:b/>
      <w:sz w:val="28"/>
      <w:szCs w:val="24"/>
      <w:lang w:val="ru-RU" w:eastAsia="ru-RU" w:bidi="ar-SA"/>
    </w:rPr>
  </w:style>
  <w:style w:type="paragraph" w:styleId="883">
    <w:name w:val="Body Text Indent"/>
    <w:basedOn w:val="681"/>
    <w:pPr>
      <w:ind w:left="283"/>
      <w:spacing w:after="120"/>
    </w:pPr>
    <w:rPr>
      <w:sz w:val="28"/>
      <w:szCs w:val="20"/>
    </w:rPr>
  </w:style>
  <w:style w:type="paragraph" w:styleId="884">
    <w:name w:val="Body Text"/>
    <w:basedOn w:val="681"/>
    <w:pPr>
      <w:spacing w:after="120"/>
    </w:pPr>
  </w:style>
  <w:style w:type="paragraph" w:styleId="885" w:customStyle="1">
    <w:name w:val="Знак Знак Знак Знак Знак Знак Знак"/>
    <w:basedOn w:val="68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886" w:customStyle="1">
    <w:name w:val="Font Style19"/>
    <w:rPr>
      <w:rFonts w:ascii="Times New Roman" w:hAnsi="Times New Roman" w:cs="Times New Roman"/>
      <w:sz w:val="18"/>
      <w:szCs w:val="18"/>
    </w:rPr>
  </w:style>
  <w:style w:type="character" w:styleId="887">
    <w:name w:val="Emphasis"/>
    <w:uiPriority w:val="20"/>
    <w:qFormat/>
    <w:rPr>
      <w:i/>
      <w:iCs/>
    </w:rPr>
  </w:style>
  <w:style w:type="character" w:styleId="888" w:customStyle="1">
    <w:name w:val="apple-converted-space"/>
  </w:style>
  <w:style w:type="character" w:styleId="889" w:customStyle="1">
    <w:name w:val="Заголовок 4 Знак"/>
    <w:link w:val="685"/>
    <w:rPr>
      <w:rFonts w:ascii="Calibri" w:hAnsi="Calibri" w:eastAsia="Times New Roman" w:cs="Times New Roman"/>
      <w:b/>
      <w:bCs/>
      <w:sz w:val="28"/>
      <w:szCs w:val="28"/>
    </w:rPr>
  </w:style>
  <w:style w:type="paragraph" w:styleId="890" w:customStyle="1">
    <w:name w:val="8f4506aa708e2a26msolistparagraph"/>
    <w:basedOn w:val="681"/>
    <w:pPr>
      <w:spacing w:before="100" w:beforeAutospacing="1" w:after="100" w:afterAutospacing="1"/>
    </w:pPr>
  </w:style>
  <w:style w:type="paragraph" w:styleId="891" w:customStyle="1">
    <w:name w:val="Обычный (Интернет)"/>
    <w:basedOn w:val="681"/>
    <w:uiPriority w:val="99"/>
    <w:unhideWhenUsed/>
    <w:pPr>
      <w:spacing w:before="100" w:beforeAutospacing="1" w:after="100" w:afterAutospacing="1"/>
    </w:pPr>
  </w:style>
  <w:style w:type="paragraph" w:styleId="892" w:customStyle="1">
    <w:name w:val="Диссер"/>
    <w:basedOn w:val="681"/>
    <w:pPr>
      <w:ind w:firstLine="720"/>
      <w:jc w:val="both"/>
      <w:spacing w:line="360" w:lineRule="auto"/>
    </w:pPr>
    <w:rPr>
      <w:color w:val="000000"/>
      <w:sz w:val="30"/>
      <w:szCs w:val="20"/>
    </w:rPr>
  </w:style>
  <w:style w:type="paragraph" w:styleId="893" w:customStyle="1">
    <w:name w:val="ConsPlusNormal"/>
    <w:pPr>
      <w:widowControl w:val="off"/>
    </w:pPr>
    <w:rPr>
      <w:sz w:val="24"/>
      <w:szCs w:val="24"/>
    </w:rPr>
  </w:style>
  <w:style w:type="paragraph" w:styleId="894" w:customStyle="1">
    <w:name w:val="ConsPlusNonformat"/>
    <w:uiPriority w:val="99"/>
    <w:qFormat/>
    <w:pPr>
      <w:widowControl w:val="off"/>
    </w:pPr>
    <w:rPr>
      <w:rFonts w:ascii="Courier New" w:hAnsi="Courier New" w:cs="Courier New"/>
    </w:rPr>
  </w:style>
  <w:style w:type="character" w:styleId="895" w:customStyle="1">
    <w:name w:val="Заголовок 6 Знак"/>
    <w:link w:val="687"/>
    <w:semiHidden/>
    <w:rPr>
      <w:rFonts w:ascii="Calibri" w:hAnsi="Calibri" w:eastAsia="Times New Roman" w:cs="Times New Roman"/>
      <w:b/>
      <w:bCs/>
      <w:sz w:val="22"/>
      <w:szCs w:val="22"/>
    </w:rPr>
  </w:style>
  <w:style w:type="paragraph" w:styleId="896">
    <w:name w:val="Normal (Web)"/>
    <w:basedOn w:val="681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НОККД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Пользователь</dc:creator>
  <cp:lastModifiedBy>otoi</cp:lastModifiedBy>
  <cp:revision>11</cp:revision>
  <dcterms:created xsi:type="dcterms:W3CDTF">2025-03-13T04:49:00Z</dcterms:created>
  <dcterms:modified xsi:type="dcterms:W3CDTF">2025-03-20T10:47:54Z</dcterms:modified>
  <cp:version>917504</cp:version>
</cp:coreProperties>
</file>