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571"/>
        <w:gridCol w:w="1572"/>
        <w:gridCol w:w="1913"/>
        <w:gridCol w:w="1237"/>
        <w:gridCol w:w="484"/>
        <w:gridCol w:w="1572"/>
        <w:gridCol w:w="1572"/>
      </w:tblGrid>
      <w:tr>
        <w:tblPrEx/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687"/>
              <w:jc w:val="center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687"/>
              <w:jc w:val="center"/>
              <w:spacing w:before="0" w:after="0"/>
              <w:rPr>
                <w:b/>
                <w:sz w:val="28"/>
                <w:szCs w:val="28"/>
              </w:rPr>
            </w:pPr>
            <w:r/>
            <w:commentRangeStart w:id="0"/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commentRangeEnd w:id="0"/>
            <w:r>
              <w:commentReference w:id="0"/>
            </w:r>
            <w:r>
              <w:rPr>
                <w:rStyle w:val="70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2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3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16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57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4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textDirection w:val="lrTb"/>
            <w:noWrap w:val="false"/>
          </w:tcPr>
          <w:p>
            <w:pPr>
              <w:pStyle w:val="685"/>
              <w:ind w:right="0"/>
            </w:pPr>
            <w:r>
              <w:t xml:space="preserve">ПРИКАЗ</w:t>
            </w:r>
            <w:r/>
          </w:p>
        </w:tc>
      </w:tr>
      <w:tr>
        <w:tblPrEx/>
        <w:trPr>
          <w:gridAfter w:val="1"/>
        </w:trPr>
        <w:tc>
          <w:tcPr>
            <w:tcBorders>
              <w:bottom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16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87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16" w:type="dxa"/>
            <w:textDirection w:val="lrTb"/>
            <w:noWrap w:val="false"/>
          </w:tcPr>
          <w:p>
            <w:pPr>
              <w:pStyle w:val="687"/>
              <w:jc w:val="center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г. Новосибирск</w:t>
            </w:r>
            <w:r>
              <w:rPr>
                <w:szCs w:val="24"/>
              </w:rPr>
            </w:r>
          </w:p>
        </w:tc>
        <w:tc>
          <w:tcPr>
            <w:gridSpan w:val="3"/>
            <w:tcW w:w="2057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87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687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осударственного бюджетного учреждения здравоохранения Новосибирской области «Новосибирский областной клинический кардиологический диспансер» в период проведения ремонтных работ </w:t>
      </w:r>
      <w:r>
        <w:rPr>
          <w:b/>
          <w:sz w:val="28"/>
          <w:szCs w:val="28"/>
        </w:rPr>
        <w:t xml:space="preserve">с 14.03.2025 по 26.03.2025</w:t>
      </w:r>
      <w:r>
        <w:rPr>
          <w:b/>
          <w:sz w:val="28"/>
          <w:szCs w:val="28"/>
        </w:rPr>
      </w:r>
    </w:p>
    <w:p>
      <w:pPr>
        <w:jc w:val="center"/>
        <w:spacing w:line="24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/>
      <w:bookmarkStart w:id="1" w:name="_GoBack"/>
      <w:r>
        <w:rPr>
          <w:sz w:val="28"/>
          <w:szCs w:val="28"/>
        </w:rPr>
        <w:t xml:space="preserve">В связи с проведение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ремонтных работ в </w:t>
      </w:r>
      <w:r>
        <w:rPr>
          <w:sz w:val="28"/>
          <w:szCs w:val="28"/>
        </w:rPr>
        <w:t xml:space="preserve">государственном бюджетном учреждении здравоохранения Новосибирской области «Новосибирский областной клинический кардиологический диспансер»</w:t>
      </w:r>
      <w:r>
        <w:rPr>
          <w:sz w:val="28"/>
          <w:szCs w:val="28"/>
        </w:rPr>
        <w:t xml:space="preserve"> (далее – ГБУЗ НСО «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ОККД»)</w:t>
      </w:r>
      <w:r>
        <w:rPr>
          <w:sz w:val="28"/>
          <w:szCs w:val="28"/>
        </w:rPr>
        <w:t xml:space="preserve"> в период с 14.03.2025 по 26.03.2025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Приостановить госпитализацию </w:t>
      </w:r>
      <w:r>
        <w:rPr>
          <w:sz w:val="28"/>
          <w:szCs w:val="28"/>
        </w:rPr>
        <w:t xml:space="preserve">пациентов </w:t>
      </w:r>
      <w:r>
        <w:rPr>
          <w:sz w:val="28"/>
          <w:szCs w:val="28"/>
        </w:rPr>
        <w:t xml:space="preserve">в стационарные отделения ГБУЗ НСО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НОККД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Главным врачам государственных медицинских организаций Новосибирской области: </w:t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обеспечить госпитализацию пациентов кардиологического профиля </w:t>
      </w:r>
      <w:r>
        <w:rPr>
          <w:sz w:val="28"/>
          <w:szCs w:val="28"/>
        </w:rPr>
        <w:t xml:space="preserve">по экстренным показаниям </w:t>
      </w:r>
      <w:r>
        <w:rPr>
          <w:sz w:val="28"/>
          <w:szCs w:val="28"/>
        </w:rPr>
        <w:t xml:space="preserve">согласно приказ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здравоохранения Новосибирской области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04.12.2024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3411-НПА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маршрутизации пациентов старше 18 лет при оказании специализированной медицинской помощи в плановом порядке по профилю «кардиология» на те</w:t>
      </w:r>
      <w:r>
        <w:rPr>
          <w:sz w:val="28"/>
          <w:szCs w:val="28"/>
        </w:rPr>
        <w:t xml:space="preserve">рритории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 случае необходимости экстренной имплантации однокамерного электрокардиостимулятора обращаться в </w:t>
      </w:r>
      <w:r>
        <w:rPr>
          <w:sz w:val="28"/>
          <w:szCs w:val="28"/>
        </w:rPr>
        <w:t xml:space="preserve">государственно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здравоохранения Новосибирской области </w:t>
      </w:r>
      <w:r>
        <w:rPr>
          <w:sz w:val="28"/>
          <w:szCs w:val="28"/>
        </w:rPr>
        <w:t xml:space="preserve">«Городская клиническая больница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2»</w:t>
      </w:r>
      <w:r>
        <w:rPr>
          <w:sz w:val="28"/>
          <w:szCs w:val="28"/>
        </w:rPr>
        <w:t xml:space="preserve"> (далее – ГБУЗ НСО «ГКБ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2»)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Главному врачу ГБУЗ НСО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НОККД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Дуничевой</w:t>
      </w:r>
      <w:r>
        <w:rPr>
          <w:sz w:val="28"/>
          <w:szCs w:val="28"/>
        </w:rPr>
        <w:t xml:space="preserve"> О.В. обеспечить: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амбулаторный прием пациентов кардиологического профиля по направлению государственных медицинских организаций Новосибирской области;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проведение консультаций с применением телемедицинских технологий с государственными медицинскими орга</w:t>
      </w:r>
      <w:r>
        <w:rPr>
          <w:sz w:val="28"/>
          <w:szCs w:val="28"/>
        </w:rPr>
        <w:t xml:space="preserve">низациями Новосибирской области.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Главному врачу ГБУЗ НСО </w:t>
      </w:r>
      <w:r>
        <w:rPr>
          <w:sz w:val="28"/>
          <w:szCs w:val="28"/>
        </w:rPr>
        <w:t xml:space="preserve">«ГКБ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Шпагиной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 обеспечить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имплантаци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однокамерного электрокардиостимулятора</w:t>
      </w:r>
      <w:r>
        <w:rPr>
          <w:sz w:val="28"/>
          <w:szCs w:val="28"/>
        </w:rPr>
        <w:t xml:space="preserve"> пациентам.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 Действие настоящего приказа распространяется на правоотношения, возникшие с 14.03.2025.</w:t>
      </w:r>
      <w:r>
        <w:rPr>
          <w:sz w:val="28"/>
          <w:szCs w:val="28"/>
        </w:rPr>
      </w:r>
    </w:p>
    <w:p>
      <w:pPr>
        <w:pStyle w:val="688"/>
        <w:ind w:firstLine="709"/>
        <w:jc w:val="both"/>
        <w:spacing w:line="240" w:lineRule="auto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Шалыгину Л.С</w:t>
      </w:r>
      <w:bookmarkEnd w:id="1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76" w:lineRule="auto"/>
        <w:rPr>
          <w:sz w:val="20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Р.М. Заблоцкий</w:t>
      </w:r>
      <w:r>
        <w:rPr>
          <w:sz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С.Е. Григорьев</w:t>
      </w:r>
      <w:r>
        <w:rPr>
          <w:sz w:val="20"/>
          <w:szCs w:val="20"/>
        </w:rPr>
      </w:r>
    </w:p>
    <w:p>
      <w:pPr>
        <w:rPr>
          <w:sz w:val="20"/>
        </w:rPr>
      </w:pPr>
      <w:r>
        <w:rPr>
          <w:sz w:val="20"/>
        </w:rPr>
        <w:t xml:space="preserve">(383) 238 62 47</w:t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Хижина Анна Анатольевна" w:date="2025-03-14T11:20:00Z" w:initials="ХА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Форма бланка не соответствует установленным требованиям: отсутствует герб, фраза «г. Новосибирск» должна быть посередине, черта после № должна быть короче.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537AC12" w16cex:dateUtc="2025-03-14T04:2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537AC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ижина Анна Анатольевна">
    <w15:presenceInfo w15:providerId="Teamlab" w15:userId="S-1-5-21-2356655543-2162514679-1277178298-188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0"/>
    <w:link w:val="67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0"/>
    <w:link w:val="67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character" w:styleId="37">
    <w:name w:val="Subtitle Char"/>
    <w:basedOn w:val="680"/>
    <w:link w:val="685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3"/>
    <w:uiPriority w:val="99"/>
  </w:style>
  <w:style w:type="character" w:styleId="45">
    <w:name w:val="Footer Char"/>
    <w:basedOn w:val="680"/>
    <w:link w:val="699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9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sz w:val="24"/>
      <w:szCs w:val="24"/>
    </w:rPr>
  </w:style>
  <w:style w:type="paragraph" w:styleId="678">
    <w:name w:val="Heading 2"/>
    <w:basedOn w:val="677"/>
    <w:next w:val="677"/>
    <w:qFormat/>
    <w:pPr>
      <w:jc w:val="right"/>
      <w:keepNext/>
      <w:outlineLvl w:val="1"/>
    </w:pPr>
    <w:rPr>
      <w:sz w:val="28"/>
    </w:rPr>
  </w:style>
  <w:style w:type="paragraph" w:styleId="679">
    <w:name w:val="Heading 3"/>
    <w:basedOn w:val="677"/>
    <w:next w:val="67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Header"/>
    <w:basedOn w:val="677"/>
    <w:link w:val="707"/>
    <w:uiPriority w:val="99"/>
    <w:pPr>
      <w:tabs>
        <w:tab w:val="center" w:pos="4153" w:leader="none"/>
        <w:tab w:val="right" w:pos="8306" w:leader="none"/>
      </w:tabs>
    </w:pPr>
  </w:style>
  <w:style w:type="paragraph" w:styleId="684" w:customStyle="1">
    <w:name w:val="Название"/>
    <w:basedOn w:val="677"/>
    <w:link w:val="690"/>
    <w:qFormat/>
    <w:pPr>
      <w:ind w:right="27"/>
      <w:jc w:val="center"/>
    </w:pPr>
    <w:rPr>
      <w:b/>
      <w:sz w:val="28"/>
    </w:rPr>
  </w:style>
  <w:style w:type="paragraph" w:styleId="685">
    <w:name w:val="Subtitle"/>
    <w:basedOn w:val="677"/>
    <w:qFormat/>
    <w:pPr>
      <w:ind w:right="27"/>
      <w:jc w:val="center"/>
    </w:pPr>
    <w:rPr>
      <w:b/>
      <w:sz w:val="28"/>
    </w:rPr>
  </w:style>
  <w:style w:type="paragraph" w:styleId="686" w:customStyle="1">
    <w:name w:val="Знак"/>
    <w:basedOn w:val="67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687" w:customStyle="1">
    <w:name w:val="Normal1"/>
    <w:pPr>
      <w:spacing w:before="100" w:after="100"/>
    </w:pPr>
    <w:rPr>
      <w:sz w:val="24"/>
    </w:rPr>
  </w:style>
  <w:style w:type="paragraph" w:styleId="688">
    <w:name w:val="No Spacing"/>
    <w:uiPriority w:val="1"/>
    <w:qFormat/>
    <w:rPr>
      <w:sz w:val="24"/>
      <w:szCs w:val="24"/>
    </w:rPr>
  </w:style>
  <w:style w:type="paragraph" w:styleId="689">
    <w:name w:val="Balloon Text"/>
    <w:basedOn w:val="677"/>
    <w:semiHidden/>
    <w:rPr>
      <w:rFonts w:ascii="Tahoma" w:hAnsi="Tahoma" w:cs="Tahoma"/>
      <w:sz w:val="16"/>
      <w:szCs w:val="16"/>
    </w:rPr>
  </w:style>
  <w:style w:type="character" w:styleId="690" w:customStyle="1">
    <w:name w:val="Название Знак"/>
    <w:link w:val="684"/>
    <w:rPr>
      <w:b/>
      <w:sz w:val="28"/>
      <w:szCs w:val="24"/>
      <w:lang w:val="ru-RU" w:eastAsia="ru-RU" w:bidi="ar-SA"/>
    </w:rPr>
  </w:style>
  <w:style w:type="paragraph" w:styleId="691">
    <w:name w:val="Body Text Indent"/>
    <w:basedOn w:val="677"/>
    <w:pPr>
      <w:ind w:left="283"/>
      <w:spacing w:after="120"/>
    </w:pPr>
    <w:rPr>
      <w:sz w:val="28"/>
      <w:szCs w:val="20"/>
    </w:rPr>
  </w:style>
  <w:style w:type="paragraph" w:styleId="692">
    <w:name w:val="Body Text"/>
    <w:basedOn w:val="677"/>
    <w:pPr>
      <w:spacing w:after="120"/>
    </w:pPr>
  </w:style>
  <w:style w:type="paragraph" w:styleId="693" w:customStyle="1">
    <w:name w:val="Знак Знак Знак Знак Знак Знак Знак"/>
    <w:basedOn w:val="67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694" w:customStyle="1">
    <w:name w:val="Font Style19"/>
    <w:rPr>
      <w:rFonts w:ascii="Times New Roman" w:hAnsi="Times New Roman" w:cs="Times New Roman"/>
      <w:sz w:val="18"/>
      <w:szCs w:val="18"/>
    </w:rPr>
  </w:style>
  <w:style w:type="character" w:styleId="695">
    <w:name w:val="Emphasis"/>
    <w:qFormat/>
    <w:rPr>
      <w:i/>
      <w:iCs/>
    </w:rPr>
  </w:style>
  <w:style w:type="character" w:styleId="696" w:customStyle="1">
    <w:name w:val="apple-converted-space"/>
  </w:style>
  <w:style w:type="character" w:styleId="697">
    <w:name w:val="Hyperlink"/>
    <w:rPr>
      <w:color w:val="0000ff"/>
      <w:u w:val="single"/>
    </w:rPr>
  </w:style>
  <w:style w:type="table" w:styleId="698">
    <w:name w:val="Table Grid"/>
    <w:basedOn w:val="681"/>
    <w:uiPriority w:val="59"/>
    <w:tblPr/>
  </w:style>
  <w:style w:type="paragraph" w:styleId="699">
    <w:name w:val="Footer"/>
    <w:basedOn w:val="677"/>
    <w:link w:val="70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0" w:customStyle="1">
    <w:name w:val="Нижний колонтитул Знак"/>
    <w:link w:val="699"/>
    <w:rPr>
      <w:sz w:val="24"/>
      <w:szCs w:val="24"/>
    </w:rPr>
  </w:style>
  <w:style w:type="character" w:styleId="701" w:customStyle="1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styleId="702">
    <w:name w:val="Strong"/>
    <w:uiPriority w:val="22"/>
    <w:qFormat/>
    <w:rPr>
      <w:b/>
      <w:bCs/>
    </w:rPr>
  </w:style>
  <w:style w:type="paragraph" w:styleId="703" w:customStyle="1">
    <w:name w:val="FR1"/>
    <w:pPr>
      <w:ind w:left="80"/>
      <w:jc w:val="center"/>
      <w:spacing w:before="100"/>
      <w:widowControl w:val="off"/>
    </w:pPr>
    <w:rPr>
      <w:b/>
      <w:sz w:val="40"/>
    </w:rPr>
  </w:style>
  <w:style w:type="paragraph" w:styleId="704" w:customStyle="1">
    <w:name w:val="Диссер"/>
    <w:basedOn w:val="677"/>
    <w:pPr>
      <w:ind w:firstLine="720"/>
      <w:jc w:val="both"/>
      <w:spacing w:line="360" w:lineRule="auto"/>
    </w:pPr>
    <w:rPr>
      <w:sz w:val="30"/>
      <w:szCs w:val="20"/>
      <w:lang w:eastAsia="ar-SA"/>
    </w:rPr>
  </w:style>
  <w:style w:type="paragraph" w:styleId="705">
    <w:name w:val="List Paragraph"/>
    <w:basedOn w:val="677"/>
    <w:qFormat/>
    <w:pPr>
      <w:contextualSpacing/>
      <w:ind w:left="720"/>
    </w:pPr>
    <w:rPr>
      <w:rFonts w:ascii="Calibri" w:hAnsi="Calibri" w:eastAsia="Calibri"/>
      <w:sz w:val="22"/>
      <w:szCs w:val="22"/>
      <w:lang w:eastAsia="en-US"/>
    </w:rPr>
  </w:style>
  <w:style w:type="character" w:styleId="706" w:customStyle="1">
    <w:name w:val="s1"/>
    <w:basedOn w:val="680"/>
    <w:qFormat/>
  </w:style>
  <w:style w:type="character" w:styleId="707" w:customStyle="1">
    <w:name w:val="Верхний колонтитул Знак"/>
    <w:link w:val="683"/>
    <w:uiPriority w:val="99"/>
    <w:rPr>
      <w:sz w:val="24"/>
      <w:szCs w:val="24"/>
    </w:rPr>
  </w:style>
  <w:style w:type="character" w:styleId="708">
    <w:name w:val="annotation reference"/>
    <w:uiPriority w:val="99"/>
    <w:semiHidden/>
    <w:unhideWhenUsed/>
    <w:rPr>
      <w:sz w:val="16"/>
      <w:szCs w:val="16"/>
    </w:rPr>
  </w:style>
  <w:style w:type="paragraph" w:styleId="709">
    <w:name w:val="annotation text"/>
    <w:basedOn w:val="677"/>
    <w:link w:val="710"/>
    <w:uiPriority w:val="99"/>
    <w:semiHidden/>
    <w:unhideWhenUsed/>
    <w:rPr>
      <w:sz w:val="20"/>
      <w:szCs w:val="20"/>
    </w:rPr>
  </w:style>
  <w:style w:type="character" w:styleId="710" w:customStyle="1">
    <w:name w:val="Текст примечания Знак"/>
    <w:basedOn w:val="680"/>
    <w:link w:val="709"/>
    <w:uiPriority w:val="99"/>
    <w:semiHidden/>
  </w:style>
  <w:style w:type="paragraph" w:styleId="711">
    <w:name w:val="annotation subject"/>
    <w:basedOn w:val="709"/>
    <w:next w:val="709"/>
    <w:link w:val="712"/>
    <w:uiPriority w:val="99"/>
    <w:semiHidden/>
    <w:unhideWhenUsed/>
    <w:rPr>
      <w:b/>
      <w:bCs/>
    </w:rPr>
  </w:style>
  <w:style w:type="character" w:styleId="712" w:customStyle="1">
    <w:name w:val="Тема примечания Знак"/>
    <w:link w:val="711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НОККД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revision>4</cp:revision>
  <dcterms:created xsi:type="dcterms:W3CDTF">2025-03-14T09:58:00Z</dcterms:created>
  <dcterms:modified xsi:type="dcterms:W3CDTF">2025-03-17T06:40:40Z</dcterms:modified>
  <cp:version>786432</cp:version>
</cp:coreProperties>
</file>