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распоряжения </w:t>
      </w: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  <w:t xml:space="preserve">от 28.06.2022 № 354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28.06.2022 № 354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«Баган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«Баган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 </w:t>
      </w:r>
      <w:r>
        <w:rPr>
          <w:sz w:val="28"/>
          <w:szCs w:val="28"/>
        </w:rPr>
        <w:t xml:space="preserve">Понамарева Владимира Владимировича, заместителя начальника отдела земельных отношений министерства природных ресурсов и экологии Новосибирской области.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Глухих П.Г.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</w:t>
      </w:r>
      <w:r>
        <w:rPr>
          <w:sz w:val="28"/>
          <w:szCs w:val="28"/>
        </w:rPr>
        <w:t xml:space="preserve"> А.А. Травников</w:t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/>
      <w:bookmarkStart w:id="0" w:name="_GoBack"/>
      <w:r/>
      <w:bookmarkEnd w:id="0"/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70</cp:revision>
  <dcterms:created xsi:type="dcterms:W3CDTF">2014-03-31T05:29:00Z</dcterms:created>
  <dcterms:modified xsi:type="dcterms:W3CDTF">2025-03-11T05:58:31Z</dcterms:modified>
  <cp:version>1048576</cp:version>
</cp:coreProperties>
</file>