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№ 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Положению о конкурсном отборе крестьянских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(фермерских) хозяйств и сельскохозяйственных потребительских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кооперативов в Новосибирской области на право получения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 xml:space="preserve">а в форме субсидии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3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3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3"/>
        <w:contextualSpacing/>
        <w:jc w:val="center"/>
        <w:spacing w:after="24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КРИТЕРИИ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3"/>
        <w:contextualSpacing/>
        <w:jc w:val="center"/>
        <w:spacing w:after="24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оценки заявок на участие в конкурсном отборе на право получения гран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 в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форме субсидии «Агрозащитник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3"/>
        <w:contextualSpacing/>
        <w:jc w:val="center"/>
        <w:spacing w:after="24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22"/>
        <w:gridCol w:w="2922"/>
        <w:gridCol w:w="1276"/>
        <w:gridCol w:w="1276"/>
        <w:gridCol w:w="3825"/>
      </w:tblGrid>
      <w:tr>
        <w:tblPrEx/>
        <w:trPr>
          <w:trHeight w:val="1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22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922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825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  <w:r>
              <w:rPr>
                <w:rFonts w:ascii="Times New Roman" w:hAnsi="Times New Roman"/>
                <w:sz w:val="2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критерия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критерия в баллах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 крите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подтверждающие соответствие критерию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Природно-климатические условия муниципального района Новосибирской области, в котором планируется реализация проекта*: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паспорта участника конкурсного отбора с отметкой о реги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страции по месту жительства.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на дату, не ранее даты начала приема заявок или копия договора аренды или иного договора, подтв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ерждающего наличие прав, предоставленных участнику конкурсного отбора на срок, не менее срока реализации бизнес-плана, на земельный участок сельскохозяйственного назначения, здание или сооружение, по месту нахождения которых планируется реализация проекта.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в заявке и (или) в прилагаемых к заявке документах информации о кадастровом номере объекта недвижимого имущества информация о наличии прав на недвижимое имуществ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запрашивается министерством в порядке межведомственного взаимодействия не позднее семи рабочих дней после окончания срока приема заявок (при этом участник конкурсного отбора вправе представить указанные документы в министерство по собственной инициативе)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первая группа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вторая группа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третья группа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паспорта участника конкур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сного отбора с отметкой о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регистрации по месту жительства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проживает свыше 5 и более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проживает свыше 1 года, но не более 5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проживает менее 1 года или не проживает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собственности у заявителя самоходной сельскохозяйственной техники, поставленной на учет в Инспекции гостехнадзора Новосибирской области: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свидетельства о собственности и (или) копия паспорта самоходной машины.</w:t>
              <w:br w:type="textWrapping" w:clear="all"/>
              <w:t xml:space="preserve">(информация зап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рашивается министерством в Инспекции гостехнадзора Новосибирской области не позднее семи рабочих дней после окончания срока приема заявок. При этом участник конкурсного отбора вправе представить указанные документы в министерство по собственной инициативе)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 критерию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соответствует критерию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ичие у участника конкурсного отбора образования по сельскохозяйственной специальности и (или) иной специальности, полученной в учебном заведении высшего или среднего профессионального образования, осуществляющем подготовку кадров для сельского хозяйства**: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Копия диплома об образовании участника отбора.</w:t>
              <w:br w:type="textWrapping" w:clear="all"/>
              <w:t xml:space="preserve">2. Копия документа о прохождении участником конкурсного отбора программы профессиональной переподготовки «Школа фермера»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высшего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программы профессиональной переподготовки «Школа фермера»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соответствует критерию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опыта работы в сельском хозяйстве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трудовой книжки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5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 года до 4 лет включительно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указанным критериям или непредставление сведений, подтверждающих наличие опыта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материальной базы**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ыписка из Единого государственного реестра недвижимости.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в заявке и (или) в прилагаемых к заявке документах информации о кадастровом номере объекта недвижимого имущества информация о наличии прав на недвижимое имуществ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запрашивается министерством в порядке межведомственного взаимодействия не позднее семи рабочих дней после окончания срока приема заявок (при этом участник конкурсного отбора вправе представить указанные документы в министерство по собственной инициативе)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собственности участника конкурсного отбора зданий, и (или) строений, и (или) сооружений сельскохозяйственного назначения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аренде и (или) ином праве у участника конкурсного отбора на период реализации бизнес-плана зданий, и (или) строений,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непредставление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ведений, подтверждающих соответ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ствие указанным критериям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 заявителя зарегистрированных прав на земельный участок (земельные участки)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 котором (которых) планируется организация сельскохозяйственного производства в соответствии с планом расходов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развитию крестьянского (фер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мерского) хозяйства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ыписка из Единого государственного реестра недвижимости.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в заявке и (или) в прилагаемых к заявке документах информации о кадастровом номере объекта недвижимого имущества информация о наличии прав на недвижимое имуществ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запрашивается министерством в порядке межведомственного взаимодействия не позднее семи рабочих дней после окончания срока приема заявок (при этом участник конкурсного отбора вправе представить указанные документы в министерство по собственной инициативе)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зарегистрированных прав на земельный участок (земельные участки)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зарегистрированных прав на земельный участок (земельные участки)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vMerge w:val="continue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2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компетенций участника конкурсного отбора по направлению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5" w:type="dxa"/>
            <w:vAlign w:val="top"/>
            <w:textDirection w:val="lrTb"/>
            <w:noWrap w:val="false"/>
          </w:tcPr>
          <w:p>
            <w:pPr>
              <w:pStyle w:val="85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проставляется членами конкурсной комиссии по итогам очного собеседования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3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3"/>
        <w:ind w:firstLine="48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*Распределение районов Новосибирской области по группам: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3"/>
        <w:ind w:firstLine="48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Первая группа: Венгеровский, Кыштовский, Северный, Убинский районы.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3"/>
        <w:ind w:firstLine="48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Вторая группа: Баганский, Барабинский, Болотнинский, Доволенский, Здвинский, Каргатский, Краснозерский, Кочковский, Купинский, Куйбышевский, Усть-Таркский, Чановский, Чистоозерный, Чулымский районы, Карасукский, Татарский муниципальные округа.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3"/>
        <w:ind w:firstLine="48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Третья группа: Искитимский, Колыванский, Коченевский, Мошковский, Новосибирский, Ордынский, Сузунский, Тогучинский, Черепановский районы, Маслянинский муниципальный округ.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3"/>
        <w:ind w:firstLine="48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**Если представлены документы, соответствующие нескольким подпунктам критерия, то учитывается подпункт, для которого установлен наиболее высокий балл.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3"/>
        <w:ind w:firstLine="480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сумма баллов (с учетом веса критериев), предоставляющая право на получение гранта, составляет 6 баллов.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3"/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3"/>
    <w:next w:val="853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3"/>
    <w:next w:val="853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3"/>
    <w:next w:val="853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3"/>
    <w:next w:val="8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qFormat/>
    <w:pPr>
      <w:spacing w:after="160" w:line="259" w:lineRule="auto"/>
    </w:pPr>
    <w:rPr>
      <w:rFonts w:eastAsia="Times New Roman"/>
      <w:sz w:val="22"/>
      <w:szCs w:val="22"/>
      <w:lang w:val="ru-RU" w:eastAsia="en-US" w:bidi="ar-SA"/>
    </w:rPr>
  </w:style>
  <w:style w:type="paragraph" w:styleId="854">
    <w:name w:val="Заголовок 3"/>
    <w:basedOn w:val="853"/>
    <w:next w:val="854"/>
    <w:link w:val="87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855">
    <w:name w:val="Основной шрифт абзаца"/>
    <w:next w:val="855"/>
    <w:link w:val="853"/>
    <w:semiHidden/>
  </w:style>
  <w:style w:type="table" w:styleId="856">
    <w:name w:val="Обычная таблица"/>
    <w:next w:val="856"/>
    <w:link w:val="853"/>
    <w:semiHidden/>
    <w:tblPr/>
  </w:style>
  <w:style w:type="numbering" w:styleId="857">
    <w:name w:val="Нет списка"/>
    <w:next w:val="857"/>
    <w:link w:val="853"/>
    <w:semiHidden/>
  </w:style>
  <w:style w:type="paragraph" w:styleId="858">
    <w:name w:val="List Paragraph"/>
    <w:basedOn w:val="853"/>
    <w:next w:val="858"/>
    <w:link w:val="853"/>
    <w:pPr>
      <w:ind w:left="720"/>
    </w:pPr>
  </w:style>
  <w:style w:type="paragraph" w:styleId="859">
    <w:name w:val="ConsPlusNormal"/>
    <w:next w:val="859"/>
    <w:link w:val="853"/>
    <w:pPr>
      <w:widowControl w:val="off"/>
    </w:pPr>
    <w:rPr>
      <w:rFonts w:ascii="Arial" w:hAnsi="Arial" w:cs="Arial"/>
      <w:sz w:val="16"/>
      <w:szCs w:val="16"/>
      <w:lang w:val="ru-RU" w:eastAsia="ru-RU" w:bidi="ar-SA"/>
    </w:rPr>
  </w:style>
  <w:style w:type="character" w:styleId="860">
    <w:name w:val="Знак примечания"/>
    <w:next w:val="860"/>
    <w:link w:val="853"/>
    <w:semiHidden/>
    <w:rPr>
      <w:rFonts w:cs="Times New Roman"/>
      <w:sz w:val="16"/>
      <w:szCs w:val="16"/>
    </w:rPr>
  </w:style>
  <w:style w:type="paragraph" w:styleId="861">
    <w:name w:val="Текст примечания"/>
    <w:basedOn w:val="853"/>
    <w:next w:val="861"/>
    <w:link w:val="862"/>
    <w:semiHidden/>
    <w:pPr>
      <w:spacing w:line="240" w:lineRule="auto"/>
    </w:pPr>
    <w:rPr>
      <w:rFonts w:eastAsia="Calibri"/>
      <w:sz w:val="20"/>
      <w:szCs w:val="20"/>
      <w:lang w:val="en-US" w:eastAsia="en-US"/>
    </w:rPr>
  </w:style>
  <w:style w:type="character" w:styleId="862">
    <w:name w:val="Текст примечания Знак"/>
    <w:next w:val="862"/>
    <w:link w:val="861"/>
    <w:semiHidden/>
    <w:rPr>
      <w:rFonts w:cs="Times New Roman"/>
      <w:sz w:val="20"/>
      <w:szCs w:val="20"/>
    </w:rPr>
  </w:style>
  <w:style w:type="paragraph" w:styleId="863">
    <w:name w:val="Текст выноски"/>
    <w:basedOn w:val="853"/>
    <w:next w:val="863"/>
    <w:link w:val="864"/>
    <w:semiHidden/>
    <w:pPr>
      <w:spacing w:after="0" w:line="240" w:lineRule="auto"/>
    </w:pPr>
    <w:rPr>
      <w:rFonts w:ascii="Segoe UI" w:hAnsi="Segoe UI" w:eastAsia="Calibri"/>
      <w:sz w:val="18"/>
      <w:szCs w:val="18"/>
      <w:lang w:val="en-US" w:eastAsia="en-US"/>
    </w:rPr>
  </w:style>
  <w:style w:type="character" w:styleId="864">
    <w:name w:val="Текст выноски Знак"/>
    <w:next w:val="864"/>
    <w:link w:val="863"/>
    <w:semiHidden/>
    <w:rPr>
      <w:rFonts w:ascii="Segoe UI" w:hAnsi="Segoe UI" w:cs="Segoe UI"/>
      <w:sz w:val="18"/>
      <w:szCs w:val="18"/>
    </w:rPr>
  </w:style>
  <w:style w:type="paragraph" w:styleId="865">
    <w:name w:val="Тема примечания"/>
    <w:basedOn w:val="861"/>
    <w:next w:val="861"/>
    <w:link w:val="866"/>
    <w:semiHidden/>
    <w:rPr>
      <w:b/>
      <w:bCs/>
    </w:rPr>
  </w:style>
  <w:style w:type="character" w:styleId="866">
    <w:name w:val="Тема примечания Знак"/>
    <w:next w:val="866"/>
    <w:link w:val="865"/>
    <w:semiHidden/>
    <w:rPr>
      <w:rFonts w:cs="Times New Roman"/>
      <w:b/>
      <w:bCs/>
      <w:sz w:val="20"/>
      <w:szCs w:val="20"/>
    </w:rPr>
  </w:style>
  <w:style w:type="paragraph" w:styleId="867">
    <w:name w:val="Верхний колонтитул"/>
    <w:basedOn w:val="853"/>
    <w:next w:val="867"/>
    <w:link w:val="868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rPr>
      <w:rFonts w:cs="Times New Roman"/>
    </w:rPr>
  </w:style>
  <w:style w:type="paragraph" w:styleId="869">
    <w:name w:val="Нижний колонтитул"/>
    <w:basedOn w:val="853"/>
    <w:next w:val="869"/>
    <w:link w:val="870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rPr>
      <w:rFonts w:cs="Times New Roman"/>
    </w:rPr>
  </w:style>
  <w:style w:type="table" w:styleId="871">
    <w:name w:val="Сетка таблицы"/>
    <w:basedOn w:val="856"/>
    <w:next w:val="871"/>
    <w:link w:val="853"/>
    <w:uiPriority w:val="59"/>
    <w:rPr>
      <w:rFonts w:ascii="Times New Roman" w:hAnsi="Times New Roman" w:eastAsia="Times New Roman"/>
    </w:rPr>
    <w:tblPr/>
  </w:style>
  <w:style w:type="character" w:styleId="872">
    <w:name w:val="Заголовок 3 Знак"/>
    <w:next w:val="872"/>
    <w:link w:val="854"/>
    <w:uiPriority w:val="9"/>
    <w:rPr>
      <w:rFonts w:ascii="Times New Roman" w:hAnsi="Times New Roman" w:eastAsia="Times New Roman"/>
      <w:b/>
      <w:bCs/>
      <w:sz w:val="27"/>
      <w:szCs w:val="27"/>
    </w:rPr>
  </w:style>
  <w:style w:type="paragraph" w:styleId="873">
    <w:name w:val="headertext"/>
    <w:basedOn w:val="853"/>
    <w:next w:val="873"/>
    <w:link w:val="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4">
    <w:name w:val="formattext"/>
    <w:basedOn w:val="853"/>
    <w:next w:val="874"/>
    <w:link w:val="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Цилковская Евгения Викторовна</dc:creator>
  <cp:revision>7</cp:revision>
  <dcterms:created xsi:type="dcterms:W3CDTF">2025-03-16T12:40:00Z</dcterms:created>
  <dcterms:modified xsi:type="dcterms:W3CDTF">2025-03-27T05:25:09Z</dcterms:modified>
  <cp:version>1048576</cp:version>
</cp:coreProperties>
</file>