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 № 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70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70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7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23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02.02.2015 № 37-п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из бюджета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грантов в форме субсидий участникам специальной военной операции на финансовое обеспечение затрат, связанных с организацией сельскохозяйственного производства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Настоящий Порядок регламентирует условия и цель предоставления из бюджета Новосибирской облас</w:t>
      </w:r>
      <w:r>
        <w:rPr>
          <w:rFonts w:ascii="Times New Roman" w:hAnsi="Times New Roman"/>
          <w:sz w:val="28"/>
          <w:szCs w:val="28"/>
        </w:rPr>
        <w:t xml:space="preserve">ти грантов в форме субсидий  участникам специальной военной операции на финансовое обеспечение затрат, связанных с организацией сельскохозяйственного производства в рамках реализации государственной программы Новосибирской области «О государственной програ</w:t>
      </w:r>
      <w:r>
        <w:rPr>
          <w:rFonts w:ascii="Times New Roman" w:hAnsi="Times New Roman"/>
          <w:sz w:val="28"/>
          <w:szCs w:val="28"/>
        </w:rPr>
        <w:t xml:space="preserve">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(далее – По</w:t>
      </w:r>
      <w:r>
        <w:rPr>
          <w:rFonts w:ascii="Times New Roman" w:hAnsi="Times New Roman"/>
          <w:sz w:val="28"/>
          <w:szCs w:val="28"/>
        </w:rPr>
        <w:t xml:space="preserve">рядок, областной </w:t>
      </w:r>
      <w:r>
        <w:rPr>
          <w:rFonts w:ascii="Times New Roman" w:hAnsi="Times New Roman"/>
          <w:sz w:val="28"/>
          <w:szCs w:val="28"/>
        </w:rPr>
        <w:t xml:space="preserve">бюджет, </w:t>
      </w:r>
      <w:r>
        <w:rPr>
          <w:rFonts w:ascii="Times New Roman" w:hAnsi="Times New Roman"/>
          <w:sz w:val="28"/>
          <w:szCs w:val="28"/>
        </w:rPr>
        <w:t xml:space="preserve">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становление Правительства Новосибирской области от 02.02.2015 № 37-п).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разработан в соответствии с постановлением Правительства Российской Федерации от 25.10.2023 № 1782 «Об утверждении общих требований к норм</w:t>
      </w:r>
      <w:r>
        <w:rPr>
          <w:rFonts w:ascii="Times New Roman" w:hAnsi="Times New Roman"/>
          <w:sz w:val="28"/>
          <w:szCs w:val="28"/>
        </w:rPr>
        <w:t xml:space="preserve">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</w:t>
      </w:r>
      <w:r>
        <w:rPr>
          <w:rFonts w:ascii="Times New Roman" w:hAnsi="Times New Roman"/>
          <w:sz w:val="28"/>
          <w:szCs w:val="28"/>
        </w:rPr>
        <w:t xml:space="preserve">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Используемые в настоящем Порядке понятия: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«грант «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- средства</w:t>
      </w:r>
      <w:r>
        <w:rPr>
          <w:rFonts w:ascii="Times New Roman" w:hAnsi="Times New Roman"/>
          <w:sz w:val="28"/>
          <w:szCs w:val="28"/>
        </w:rPr>
        <w:t xml:space="preserve"> (грант в форме субсидии), перечисляемые из </w:t>
      </w:r>
      <w:r>
        <w:rPr>
          <w:rFonts w:ascii="Times New Roman" w:hAnsi="Times New Roman"/>
          <w:sz w:val="28"/>
          <w:szCs w:val="28"/>
        </w:rPr>
        <w:t xml:space="preserve">бюджета Новосибирской области гран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ополучателю для финансового обеспечения его затрат, не возмещаемых в рамках иных направлений государственной поддержки, связанных с реализацией проекта создания и (или) развития хозяйства, направленного на организацию и </w:t>
      </w:r>
      <w:r>
        <w:rPr>
          <w:rFonts w:ascii="Times New Roman" w:hAnsi="Times New Roman"/>
          <w:sz w:val="28"/>
          <w:szCs w:val="28"/>
        </w:rPr>
        <w:t xml:space="preserve">(или) увеличение производства сельскохозяйственной продукции, представляемого </w:t>
      </w:r>
      <w:r>
        <w:rPr>
          <w:rFonts w:ascii="Times New Roman" w:hAnsi="Times New Roman"/>
          <w:sz w:val="28"/>
          <w:szCs w:val="28"/>
        </w:rPr>
        <w:t xml:space="preserve">заявителем в конкурсную по отбору проектов, созданную министерством сельского хозяйства Новосибирской области (далее - министерство);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«грантополучатель» - заявитель, отобранный к</w:t>
      </w:r>
      <w:r>
        <w:rPr>
          <w:rFonts w:ascii="Times New Roman" w:hAnsi="Times New Roman"/>
          <w:sz w:val="28"/>
          <w:szCs w:val="28"/>
        </w:rPr>
        <w:t xml:space="preserve">омиссией по отбору прое</w:t>
      </w:r>
      <w:r>
        <w:rPr>
          <w:rFonts w:ascii="Times New Roman" w:hAnsi="Times New Roman"/>
          <w:sz w:val="28"/>
          <w:szCs w:val="28"/>
        </w:rPr>
        <w:t xml:space="preserve">ктов для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зарегистрированный в качестве крестьянского (фермерского) хозяйства или индивидуального предпринимателя, являющегося главой крестьянского (фермерского) хозяйства, в соответствии с Федеральным за</w:t>
      </w:r>
      <w:r>
        <w:rPr>
          <w:rFonts w:ascii="Times New Roman" w:hAnsi="Times New Roman"/>
          <w:sz w:val="28"/>
          <w:szCs w:val="28"/>
        </w:rPr>
        <w:t xml:space="preserve">коном «О государственной регистрации юридических лиц и индивидуальных предпринимателей»;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«заявитель» - гражданин Российской Федерации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из числа </w:t>
      </w:r>
      <w:r>
        <w:rPr>
          <w:rFonts w:ascii="Times New Roman" w:hAnsi="Times New Roman"/>
          <w:sz w:val="28"/>
          <w:szCs w:val="28"/>
          <w:highlight w:val="white"/>
        </w:rPr>
        <w:t xml:space="preserve">участников боевых</w:t>
      </w:r>
      <w:r>
        <w:rPr>
          <w:rFonts w:ascii="Times New Roman" w:hAnsi="Times New Roman"/>
          <w:sz w:val="28"/>
          <w:szCs w:val="28"/>
          <w:highlight w:val="white"/>
        </w:rPr>
        <w:t xml:space="preserve"> де</w:t>
      </w:r>
      <w:r>
        <w:rPr>
          <w:rFonts w:ascii="Times New Roman" w:hAnsi="Times New Roman"/>
          <w:sz w:val="28"/>
          <w:szCs w:val="28"/>
        </w:rPr>
        <w:t xml:space="preserve">йствий, осуществлявших выполнение задач в ходе специальной военной операции на территориях Дон</w:t>
      </w:r>
      <w:r>
        <w:rPr>
          <w:rFonts w:ascii="Times New Roman" w:hAnsi="Times New Roman"/>
          <w:sz w:val="28"/>
          <w:szCs w:val="28"/>
        </w:rPr>
        <w:t xml:space="preserve">ецкой Народной Республики, Луганской Народной Республики и Украины с 24 февраля 2022 г., на территориях Запорожской области и Херсонской области - с 30 сентября 2022 г., уволенный с военной службы (службы, работы), а также принимавший в соответствии с реше</w:t>
      </w:r>
      <w:r>
        <w:rPr>
          <w:rFonts w:ascii="Times New Roman" w:hAnsi="Times New Roman"/>
          <w:sz w:val="28"/>
          <w:szCs w:val="28"/>
        </w:rPr>
        <w:t xml:space="preserve">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</w:t>
      </w:r>
      <w:r>
        <w:rPr>
          <w:rFonts w:ascii="Times New Roman" w:hAnsi="Times New Roman"/>
          <w:sz w:val="28"/>
          <w:szCs w:val="28"/>
        </w:rPr>
        <w:t xml:space="preserve">онецкой Народной Республики и Луганской Народной Республики начиная с 11 мая 2014 г., зарегистрированный в качестве крестьянского (фермерского) хозяйства или индивидуального предпринимателя, являющегося главой крестьянского (фермерского) хозяйства на сельс</w:t>
      </w:r>
      <w:r>
        <w:rPr>
          <w:rFonts w:ascii="Times New Roman" w:hAnsi="Times New Roman"/>
          <w:sz w:val="28"/>
          <w:szCs w:val="28"/>
        </w:rPr>
        <w:t xml:space="preserve">кой территории или на территории сельской агломерации Новосибирской области, который обязуется осуществлять деятельность на сельской территории или на территории сельской агломерации Новосибирской области в течение не менее чем 3 лет со дня получения средс</w:t>
      </w:r>
      <w:r>
        <w:rPr>
          <w:rFonts w:ascii="Times New Roman" w:hAnsi="Times New Roman"/>
          <w:sz w:val="28"/>
          <w:szCs w:val="28"/>
        </w:rPr>
        <w:t xml:space="preserve">тв и достигнуть показателей деятельности, предусмотренных проектом.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понятию «заявитель» также относится гражданин Российской Федерации, обязующийся в срок, не превышающий 30 календарных дней с даты принятия решения комиссии по отбо</w:t>
      </w:r>
      <w:r>
        <w:rPr>
          <w:rFonts w:ascii="Times New Roman" w:hAnsi="Times New Roman"/>
          <w:sz w:val="28"/>
          <w:szCs w:val="28"/>
        </w:rPr>
        <w:t xml:space="preserve">ру проектов, созданную министерство</w:t>
      </w:r>
      <w:r>
        <w:rPr>
          <w:rFonts w:ascii="Times New Roman" w:hAnsi="Times New Roman"/>
          <w:sz w:val="28"/>
          <w:szCs w:val="28"/>
        </w:rPr>
        <w:t xml:space="preserve">м, о предоставлении ему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осуществить государственную регистрацию крестьянского (фермерского) хозяйства или зарегистрироваться в качестве индивидуального предпринимателя, являющегося главой крестьянского (фер</w:t>
      </w:r>
      <w:r>
        <w:rPr>
          <w:rFonts w:ascii="Times New Roman" w:hAnsi="Times New Roman"/>
          <w:sz w:val="28"/>
          <w:szCs w:val="28"/>
        </w:rPr>
        <w:t xml:space="preserve">мерского) хозяйства, которые отвечают условиям, предусмотренным абзацем четвертым настоящего пункта, в органах Федеральной налоговой службы;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«плановые показатели деятельности»</w:t>
      </w:r>
      <w:r>
        <w:rPr>
          <w:rFonts w:ascii="Times New Roman" w:hAnsi="Times New Roman"/>
          <w:sz w:val="28"/>
          <w:szCs w:val="28"/>
        </w:rPr>
        <w:t xml:space="preserve"> - производственные и экономические показатели, предусмотренные проектом создания и (или) развития хозяйства. В состав плановых показателей деятельности включаются, в том числе количество принятых новых постоянных работников, сведения о которых подтверждаю</w:t>
      </w:r>
      <w:r>
        <w:rPr>
          <w:rFonts w:ascii="Times New Roman" w:hAnsi="Times New Roman"/>
          <w:sz w:val="28"/>
          <w:szCs w:val="28"/>
        </w:rPr>
        <w:t xml:space="preserve">тся справкой налогового органа, и объем производства и реализации сельскохозяйственной продукции, выраженный в натуральных и денежных показателях;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«проект создания и (или) развития хозяйства» - документ (бизнес-план), составленный по форме, определяемой ми</w:t>
      </w:r>
      <w:r>
        <w:rPr>
          <w:rFonts w:ascii="Times New Roman" w:hAnsi="Times New Roman"/>
          <w:sz w:val="28"/>
          <w:szCs w:val="28"/>
        </w:rPr>
        <w:t xml:space="preserve">нистерством, в который включаются в том числе н</w:t>
      </w:r>
      <w:r>
        <w:rPr>
          <w:rFonts w:ascii="Times New Roman" w:hAnsi="Times New Roman"/>
          <w:sz w:val="28"/>
          <w:szCs w:val="28"/>
        </w:rPr>
        <w:t xml:space="preserve">аправления расходования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обязательство по принятию в срок, определяемый министерством, но не позднее срока </w:t>
      </w:r>
      <w:r>
        <w:rPr>
          <w:rFonts w:ascii="Times New Roman" w:hAnsi="Times New Roman"/>
          <w:sz w:val="28"/>
          <w:szCs w:val="28"/>
        </w:rPr>
        <w:t xml:space="preserve">использования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не менее одного нового постоянного работника, а также обяза</w:t>
      </w:r>
      <w:r>
        <w:rPr>
          <w:rFonts w:ascii="Times New Roman" w:hAnsi="Times New Roman"/>
          <w:sz w:val="28"/>
          <w:szCs w:val="28"/>
        </w:rPr>
        <w:t xml:space="preserve">тельство по сохранению созданных новых постоянных рабочих мест в </w:t>
      </w:r>
      <w:r>
        <w:rPr>
          <w:rFonts w:ascii="Times New Roman" w:hAnsi="Times New Roman"/>
          <w:sz w:val="28"/>
          <w:szCs w:val="28"/>
        </w:rPr>
        <w:t xml:space="preserve">течение 3 лет с даты</w:t>
      </w:r>
      <w:r>
        <w:rPr>
          <w:rFonts w:ascii="Times New Roman" w:hAnsi="Times New Roman"/>
          <w:sz w:val="28"/>
          <w:szCs w:val="28"/>
        </w:rPr>
        <w:t xml:space="preserve"> получения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и по достижению плановых показателей деятельности, предусмотренных соглашением о предоставлении средств, заключаемым между грантополучателем и ми</w:t>
      </w:r>
      <w:r>
        <w:rPr>
          <w:rFonts w:ascii="Times New Roman" w:hAnsi="Times New Roman"/>
          <w:sz w:val="28"/>
          <w:szCs w:val="28"/>
        </w:rPr>
        <w:t xml:space="preserve">нистерством;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«комиссия по отбору проектов» – комиссия, создаваемая приказом министерства, не менее 50% членов которой составляют члены, не являющиеся государственными или муниципальными служащими,</w:t>
      </w:r>
      <w:r>
        <w:rPr>
          <w:rFonts w:ascii="Times New Roman" w:hAnsi="Times New Roman"/>
          <w:sz w:val="28"/>
          <w:szCs w:val="28"/>
        </w:rPr>
        <w:t xml:space="preserve"> осуществляющая отбор проектов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в форме очного собесед</w:t>
      </w:r>
      <w:r>
        <w:rPr>
          <w:rFonts w:ascii="Times New Roman" w:hAnsi="Times New Roman"/>
          <w:sz w:val="28"/>
          <w:szCs w:val="28"/>
        </w:rPr>
        <w:t xml:space="preserve">ования и (или) видео-конференц-связи;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«сельские территории»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</w:t>
      </w:r>
      <w:r>
        <w:rPr>
          <w:rFonts w:ascii="Times New Roman" w:hAnsi="Times New Roman"/>
          <w:sz w:val="28"/>
          <w:szCs w:val="28"/>
        </w:rPr>
        <w:t xml:space="preserve">ений, муниципальных округов, городских округов (за исключением г. Новосибирска),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г. Н</w:t>
      </w:r>
      <w:r>
        <w:rPr>
          <w:rFonts w:ascii="Times New Roman" w:hAnsi="Times New Roman"/>
          <w:sz w:val="28"/>
          <w:szCs w:val="28"/>
        </w:rPr>
        <w:t xml:space="preserve">овосибирска). Перечень сельских территорий Новосибирской области определяется Правительством Новосибирской области. Перечень сельских территорий Новосибирской области утвержден постановлением Правительства Новосибирской области от 03.03.2020 № 52-п «Об утв</w:t>
      </w:r>
      <w:r>
        <w:rPr>
          <w:rFonts w:ascii="Times New Roman" w:hAnsi="Times New Roman"/>
          <w:sz w:val="28"/>
          <w:szCs w:val="28"/>
        </w:rPr>
        <w:t xml:space="preserve">ерждении перечней сельских территорий и сельских агломераций Новосибирской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«сельские агломерации» - примыкающие друг к другу сельские территории и (или) граничащие с сельскими территориями поселки городского типа и (или) малые города. Численность</w:t>
      </w:r>
      <w:r>
        <w:rPr>
          <w:rFonts w:ascii="Times New Roman" w:hAnsi="Times New Roman"/>
          <w:sz w:val="28"/>
          <w:szCs w:val="28"/>
        </w:rPr>
        <w:t xml:space="preserve">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</w:t>
      </w:r>
      <w:r>
        <w:rPr>
          <w:rFonts w:ascii="Times New Roman" w:hAnsi="Times New Roman"/>
          <w:sz w:val="28"/>
          <w:szCs w:val="28"/>
        </w:rPr>
        <w:t xml:space="preserve">раницы муниципальных образований. Перечень сельских агломераций на территории Новосибирской области утвержден Постановлением Правительства Новосибирской области от 03.03.2020 № 52-п «Об утверждении перечней сельских территорий и сельских агломераций Новоси</w:t>
      </w:r>
      <w:r>
        <w:rPr>
          <w:rFonts w:ascii="Times New Roman" w:hAnsi="Times New Roman"/>
          <w:sz w:val="28"/>
          <w:szCs w:val="28"/>
        </w:rPr>
        <w:t xml:space="preserve">бирской области».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Целью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является создание и развитие на сельских территориях и на территориях сельской агломерации Новосибирской области крестьянских (фермерских) хозяйств, создание новых постоянных рабочих мест, увеличение пр</w:t>
      </w:r>
      <w:r>
        <w:rPr>
          <w:rFonts w:ascii="Times New Roman" w:hAnsi="Times New Roman"/>
          <w:sz w:val="28"/>
          <w:szCs w:val="28"/>
        </w:rPr>
        <w:t xml:space="preserve">оизводства продукции сельского хозяйства.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предоставляется на конкурсной основе в соответствии с решением комиссии по отбору проектов в порядке, предусмотренном Положением о конкурсном отборе крестьянских (фермерских) хозяйств и сельскохозяйст</w:t>
      </w:r>
      <w:r>
        <w:rPr>
          <w:rFonts w:ascii="Times New Roman" w:hAnsi="Times New Roman"/>
          <w:sz w:val="28"/>
          <w:szCs w:val="28"/>
        </w:rPr>
        <w:t xml:space="preserve">венных потребительских кооперативов в Новосибирской области на право получения гранта в форме субсидии», являющимся приложением № 10 к постановлению Правительства Новосибирской области от 02.02.2015 № 37-п (далее - Положение о конкурсном отборе).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предоставляется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</w:t>
      </w:r>
      <w:r>
        <w:rPr>
          <w:rFonts w:ascii="Times New Roman" w:hAnsi="Times New Roman"/>
          <w:sz w:val="28"/>
          <w:szCs w:val="28"/>
        </w:rPr>
        <w:t xml:space="preserve">юджетных обязательств на предоставление грантов на соответствующий финансовый год и плановый период.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Министерство размещает сведения о грантах на едином портале бюджетной системы Российской Федерации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(в разделе единого портала) в порядке, утвержденном приказом Министерства финансов Российской Федерации от 28.12.2016 № 243н «О составе и порядке размещения и предоставления информации на едином портале бюджетной системы Российской Федерации».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предоставляется грантополучателю на реализацию проекта создания и (или) развития хозяйства: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по разведению крупного рогатого скота мясного или молочного направления продуктивности - в размере, не превышающем 7 млн. рублей, но не более 95 процентов затр</w:t>
      </w:r>
      <w:r>
        <w:rPr>
          <w:rFonts w:ascii="Times New Roman" w:hAnsi="Times New Roman"/>
          <w:sz w:val="28"/>
          <w:szCs w:val="28"/>
        </w:rPr>
        <w:t xml:space="preserve">ат;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 иным направлениям - в размере, не превышающем 6 млн. рублей, но не более 95 процентов затрат.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затрат, финансовое обеспечение которых допускается осуществлять за счет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определяется Министерством сельского хозяйства Новосибирск</w:t>
      </w:r>
      <w:r>
        <w:rPr>
          <w:rFonts w:ascii="Times New Roman" w:hAnsi="Times New Roman"/>
          <w:sz w:val="28"/>
          <w:szCs w:val="28"/>
        </w:rPr>
        <w:t xml:space="preserve">ой области.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предоставляется грантополучателю с учетом следующих условий: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предоставляется однократно на основании решения комиссии по отбору проектов по результатам конкурсного отбора заявителей;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реализация, передача в аренду,</w:t>
      </w:r>
      <w:r>
        <w:rPr>
          <w:rFonts w:ascii="Times New Roman" w:hAnsi="Times New Roman"/>
          <w:sz w:val="28"/>
          <w:szCs w:val="28"/>
        </w:rPr>
        <w:t xml:space="preserve"> залог и (или) отчуждение имущества, приобретенного с использованием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допускаются только при согласовании с министерством, а также при условии 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ухудшения плановых показателей деятельности, предусмотренных проектом и соглашением о предоставлени</w:t>
      </w:r>
      <w:r>
        <w:rPr>
          <w:rFonts w:ascii="Times New Roman" w:hAnsi="Times New Roman"/>
          <w:sz w:val="28"/>
          <w:szCs w:val="28"/>
        </w:rPr>
        <w:t xml:space="preserve">и средств, заключаемым между грантополучателем и министерством;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приобретение имущества, ранее приобретенного с использованием средств государственной поддержки, за счет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допускается;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срок использования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не более 24</w:t>
      </w:r>
      <w:r>
        <w:rPr>
          <w:rFonts w:ascii="Times New Roman" w:hAnsi="Times New Roman"/>
          <w:sz w:val="28"/>
          <w:szCs w:val="28"/>
        </w:rPr>
        <w:t xml:space="preserve"> месяцев со дня</w:t>
      </w:r>
      <w:r>
        <w:rPr>
          <w:rFonts w:ascii="Times New Roman" w:hAnsi="Times New Roman"/>
          <w:sz w:val="28"/>
          <w:szCs w:val="28"/>
        </w:rPr>
        <w:t xml:space="preserve"> его получения. В случае наступления обстоятельств непреодолимой силы, препятствующих использованию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установленный срок, продление срока</w:t>
      </w:r>
      <w:r>
        <w:rPr>
          <w:rFonts w:ascii="Times New Roman" w:hAnsi="Times New Roman"/>
          <w:sz w:val="28"/>
          <w:szCs w:val="28"/>
        </w:rPr>
        <w:t xml:space="preserve"> использования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осуществляется по решению министерства, но не более чем на 6 меся</w:t>
      </w:r>
      <w:r>
        <w:rPr>
          <w:rFonts w:ascii="Times New Roman" w:hAnsi="Times New Roman"/>
          <w:sz w:val="28"/>
          <w:szCs w:val="28"/>
        </w:rPr>
        <w:t xml:space="preserve">цев, в установленном уполномоченным органом порядке. Основанием для принятия уполномоченным органом решения о продлении срока использования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является документальное подтверждение грантополучателем наступления обстоятельств непреодолимой силы, пр</w:t>
      </w:r>
      <w:r>
        <w:rPr>
          <w:rFonts w:ascii="Times New Roman" w:hAnsi="Times New Roman"/>
          <w:sz w:val="28"/>
          <w:szCs w:val="28"/>
        </w:rPr>
        <w:t xml:space="preserve">епятствующих использованию средств гранта в установленный срок;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получение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крестьянским (фермерским) хозяйством или индивидуальным предпринимателем, являющимся главой крестьянского (фермерского) хозяйства, ранее являвшимися получателями грант</w:t>
      </w:r>
      <w:r>
        <w:rPr>
          <w:rFonts w:ascii="Times New Roman" w:hAnsi="Times New Roman"/>
          <w:sz w:val="28"/>
          <w:szCs w:val="28"/>
        </w:rPr>
        <w:t xml:space="preserve">ов в рамках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02.02.2015 №37-п, не допускается.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предоставляется при условии документального подтверждения права собственности и (или) иных прав заявителя на срок не менее 3 лет на земельный участок (земельные участки), на котором осуществляется или п</w:t>
      </w:r>
      <w:r>
        <w:rPr>
          <w:rFonts w:ascii="Times New Roman" w:hAnsi="Times New Roman"/>
          <w:sz w:val="28"/>
          <w:szCs w:val="28"/>
        </w:rPr>
        <w:t xml:space="preserve">ланируется осуществлять сельскохозяйственное производство;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допускается смена индивидуального предпринимателя, являющегося главой крестьянского (фермерского) хозяйства и грантополучателем, в процессе реализации проекта в соответствии со статьей 18 Федера</w:t>
      </w:r>
      <w:r>
        <w:rPr>
          <w:rFonts w:ascii="Times New Roman" w:hAnsi="Times New Roman"/>
          <w:sz w:val="28"/>
          <w:szCs w:val="28"/>
        </w:rPr>
        <w:t xml:space="preserve">льного закона «О крестьянском (фермерском) хозяйстве»;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предоставляется за счет средств бюджета </w:t>
      </w:r>
      <w:r>
        <w:rPr>
          <w:rFonts w:ascii="Times New Roman" w:hAnsi="Times New Roman"/>
          <w:sz w:val="28"/>
          <w:szCs w:val="28"/>
        </w:rPr>
        <w:t xml:space="preserve">Новосибирской области гранополучателям, зарегистрированным и осуществляющим деятельность на сельской территории или территории сельской агломерации</w:t>
      </w:r>
      <w:r>
        <w:rPr>
          <w:rFonts w:ascii="Times New Roman" w:hAnsi="Times New Roman"/>
          <w:sz w:val="28"/>
          <w:szCs w:val="28"/>
        </w:rPr>
        <w:t xml:space="preserve">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размер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не может быть </w:t>
      </w:r>
      <w:r>
        <w:rPr>
          <w:rFonts w:ascii="Times New Roman" w:hAnsi="Times New Roman"/>
          <w:sz w:val="28"/>
          <w:szCs w:val="28"/>
        </w:rPr>
        <w:t xml:space="preserve">менее 1</w:t>
      </w:r>
      <w:r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 xml:space="preserve">. В случае если заявителем на рассмотрение комиссии по отбору проектов представлен проект, где в стоимость проекта включена сумма гранта менее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млн. рублей, проект комиссией по</w:t>
      </w:r>
      <w:r>
        <w:rPr>
          <w:rFonts w:ascii="Times New Roman" w:hAnsi="Times New Roman"/>
          <w:sz w:val="28"/>
          <w:szCs w:val="28"/>
        </w:rPr>
        <w:t xml:space="preserve"> отбору проектов не рассматривается;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 осуществление грантополучателем деятельности в </w:t>
      </w:r>
      <w:r>
        <w:rPr>
          <w:rFonts w:ascii="Times New Roman" w:hAnsi="Times New Roman"/>
          <w:sz w:val="28"/>
          <w:szCs w:val="28"/>
        </w:rPr>
        <w:t xml:space="preserve">течение не менее 3 лет со дня</w:t>
      </w:r>
      <w:r>
        <w:rPr>
          <w:rFonts w:ascii="Times New Roman" w:hAnsi="Times New Roman"/>
          <w:sz w:val="28"/>
          <w:szCs w:val="28"/>
        </w:rPr>
        <w:t xml:space="preserve"> получения средств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и ежегодное представление в министерство отчетности о результатах своей деятельности по форме и в срок, устанавливаемый министерством.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В плановые показатели</w:t>
      </w:r>
      <w:r>
        <w:rPr>
          <w:rFonts w:ascii="Times New Roman" w:hAnsi="Times New Roman"/>
          <w:sz w:val="28"/>
          <w:szCs w:val="28"/>
        </w:rPr>
        <w:t xml:space="preserve"> деятельности, предусмотренные бизнес-планом, включаются, в том числе количество принятых новых </w:t>
      </w:r>
      <w:r>
        <w:rPr>
          <w:rFonts w:ascii="Times New Roman" w:hAnsi="Times New Roman"/>
          <w:sz w:val="28"/>
          <w:szCs w:val="28"/>
        </w:rPr>
        <w:t xml:space="preserve">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плановые значения показателей деяте</w:t>
      </w:r>
      <w:r>
        <w:rPr>
          <w:rFonts w:ascii="Times New Roman" w:hAnsi="Times New Roman"/>
          <w:sz w:val="28"/>
          <w:szCs w:val="28"/>
        </w:rPr>
        <w:t xml:space="preserve">льности возможно при условии предварительного согласования с министерством. В случае недостижения плановых показателей деятельности грантополучатель обязуется представить до 1 апреля года, следующего за годом, в котором показатель деятельности не был испол</w:t>
      </w:r>
      <w:r>
        <w:rPr>
          <w:rFonts w:ascii="Times New Roman" w:hAnsi="Times New Roman"/>
          <w:sz w:val="28"/>
          <w:szCs w:val="28"/>
        </w:rPr>
        <w:t xml:space="preserve">нен, письменное обоснование недостижения плановых показателей деятельности. Министерством может быть принято решение о необходимости внесения изменений в проект создания и (или) развития хозяйства и соглашение, заключенное между грантополучателем и министе</w:t>
      </w:r>
      <w:r>
        <w:rPr>
          <w:rFonts w:ascii="Times New Roman" w:hAnsi="Times New Roman"/>
          <w:sz w:val="28"/>
          <w:szCs w:val="28"/>
        </w:rPr>
        <w:t xml:space="preserve">рством. При этом крестьянское (фермерское) хозяйство или индивидуальный предприниматель представляет актуализированный бизнес-план в министерство в срок, не превышающий 45 календарных дней со дня получения соответствующего решения. Случаи, при которых допу</w:t>
      </w:r>
      <w:r>
        <w:rPr>
          <w:rFonts w:ascii="Times New Roman" w:hAnsi="Times New Roman"/>
          <w:sz w:val="28"/>
          <w:szCs w:val="28"/>
        </w:rPr>
        <w:t xml:space="preserve">скается внесение изменений в бизнес-план, </w:t>
      </w:r>
      <w:r>
        <w:rPr>
          <w:rFonts w:ascii="Times New Roman" w:hAnsi="Times New Roman"/>
          <w:sz w:val="28"/>
          <w:szCs w:val="28"/>
        </w:rPr>
        <w:t xml:space="preserve">методика оценки исполнения заявителем плановых показателей деятельности, а также меры ответственности за недостижение плановых показателей деятельности определяются министерством.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плана расходов в предела</w:t>
      </w:r>
      <w:r>
        <w:rPr>
          <w:rFonts w:ascii="Times New Roman" w:hAnsi="Times New Roman"/>
          <w:sz w:val="28"/>
          <w:szCs w:val="28"/>
        </w:rPr>
        <w:t xml:space="preserve">х предоставленного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подлежит согласованию с комиссией по отбору проектов.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плана расходов не должно менять отраслевое направление деятельности получателя субсидии (участника отбора), на развитие которого предоставлен 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а также изменять сроки реализации бизнес-плана и снижать значения показателей, необходимых д</w:t>
      </w:r>
      <w:r>
        <w:rPr>
          <w:rFonts w:ascii="Times New Roman" w:hAnsi="Times New Roman"/>
          <w:sz w:val="28"/>
          <w:szCs w:val="28"/>
        </w:rPr>
        <w:t xml:space="preserve">ля достижения результатов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предусмотренных бизнес-планом.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согласования изменения плана расходов в пределах предоставленного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гран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ополучател представляет в комиссию по отбору проектов заявление о согласовании изме</w:t>
      </w:r>
      <w:r>
        <w:rPr>
          <w:rFonts w:ascii="Times New Roman" w:hAnsi="Times New Roman"/>
          <w:sz w:val="28"/>
          <w:szCs w:val="28"/>
        </w:rPr>
        <w:t xml:space="preserve">нения плана расходов в пределах предоставленного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с обоснованием необходимости его изменения, с приложением нового плана расходов.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отбору проектов в течение 30 календарных дней со дня поступления заявления об изменении плана расходов</w:t>
      </w:r>
      <w:r>
        <w:rPr>
          <w:rFonts w:ascii="Times New Roman" w:hAnsi="Times New Roman"/>
          <w:sz w:val="28"/>
          <w:szCs w:val="28"/>
        </w:rPr>
        <w:t xml:space="preserve"> в пределах предоставленного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принимает решение о согласовании или об отказе в согласовании изменения, которое оформляется протоколом.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принятия комиссией по отбору проектов решения об отказе в согласовании изменения плана расходов</w:t>
      </w:r>
      <w:r>
        <w:rPr>
          <w:rFonts w:ascii="Times New Roman" w:hAnsi="Times New Roman"/>
          <w:sz w:val="28"/>
          <w:szCs w:val="28"/>
        </w:rPr>
        <w:t xml:space="preserve"> в пределах предоставленного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является: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несоответствие изменений плана расходов перечню затрат, финансовое обеспечение которых предусматривается осуществлять за счет средств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и (или) перечню имущества, приобретаемого грантополучат</w:t>
      </w:r>
      <w:r>
        <w:rPr>
          <w:rFonts w:ascii="Times New Roman" w:hAnsi="Times New Roman"/>
          <w:sz w:val="28"/>
          <w:szCs w:val="28"/>
        </w:rPr>
        <w:t xml:space="preserve">елем с использованием средств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поступление заявки об изменении плана расходов после окончания срока использования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снижение значений показателей, необходимых для достижения результатов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установленных</w:t>
      </w:r>
      <w:r>
        <w:rPr>
          <w:rFonts w:ascii="Times New Roman" w:hAnsi="Times New Roman"/>
          <w:sz w:val="28"/>
          <w:szCs w:val="28"/>
        </w:rPr>
        <w:t xml:space="preserve"> соглашением;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изменение направления деятельности (отрасли) сельского хозяйства, на развитие которого предоставлен 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на иное направление деятельности (отрасль) сельского хозяйства;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установление факта, что расходование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по плану ра</w:t>
      </w:r>
      <w:r>
        <w:rPr>
          <w:rFonts w:ascii="Times New Roman" w:hAnsi="Times New Roman"/>
          <w:sz w:val="28"/>
          <w:szCs w:val="28"/>
        </w:rPr>
        <w:t xml:space="preserve">сходов получателем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уже осуществлено.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отбору проектов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направляет заявите</w:t>
      </w:r>
      <w:r>
        <w:rPr>
          <w:rFonts w:ascii="Times New Roman" w:hAnsi="Times New Roman"/>
          <w:sz w:val="28"/>
          <w:szCs w:val="28"/>
        </w:rPr>
        <w:t xml:space="preserve">лю уведомление.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Устанавливаются следующие результаты, в целях достижения которых предоставляется грант (далее - результаты предоставления гранта):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грантополучателем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в срок, определяемый министерством, но не позднее срока использова</w:t>
      </w:r>
      <w:r>
        <w:rPr>
          <w:rFonts w:ascii="Times New Roman" w:hAnsi="Times New Roman"/>
          <w:sz w:val="28"/>
          <w:szCs w:val="28"/>
        </w:rPr>
        <w:t xml:space="preserve">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не менее одного нового постоянного рабочего места, сведения о котором подтверждаются справкой налогового органа (количество человек). Значение </w:t>
      </w:r>
      <w:r>
        <w:rPr>
          <w:rFonts w:ascii="Times New Roman" w:hAnsi="Times New Roman"/>
          <w:sz w:val="28"/>
          <w:szCs w:val="28"/>
        </w:rPr>
        <w:t xml:space="preserve">количества работников устанавливается в соответствии с бизнес-планом, предоставленным грантополу</w:t>
      </w:r>
      <w:r>
        <w:rPr>
          <w:rFonts w:ascii="Times New Roman" w:hAnsi="Times New Roman"/>
          <w:sz w:val="28"/>
          <w:szCs w:val="28"/>
        </w:rPr>
        <w:t xml:space="preserve">чателем;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объема сельскохозяйственной продукции, произведенной крестьянским (фермерским) хозяйством или индивидуальным предпринимателем, являющимся главой крестьянского (фермерского) хозяйства, получившим 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в отчетном году по отно</w:t>
      </w:r>
      <w:r>
        <w:rPr>
          <w:rFonts w:ascii="Times New Roman" w:hAnsi="Times New Roman"/>
          <w:sz w:val="28"/>
          <w:szCs w:val="28"/>
        </w:rPr>
        <w:t xml:space="preserve">шению к предыдущему году (процентов). Значение прироста объема сельскохозяйственной продукции, произведенной крестьянским (фермерским) хозяйством или индивидуальным предпринимателем, являющимся главой крестьянского (фермерского) хозяйства, получившим грант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в отчетном году по отношению к предыдущему году (процентов), должно соответствовать бизнес-плану.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По направлениям государственной поддержки, предусмотренным пунктом 7 настоящего Порядка, размер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(Га) рассчитывается по следующей формул</w:t>
      </w:r>
      <w:r>
        <w:rPr>
          <w:rFonts w:ascii="Times New Roman" w:hAnsi="Times New Roman"/>
          <w:sz w:val="28"/>
          <w:szCs w:val="28"/>
        </w:rPr>
        <w:t xml:space="preserve">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3366" w:type="dxa"/>
        <w:tblInd w:w="3261" w:type="dxa"/>
        <w:tblLayout w:type="fixed"/>
        <w:tblLook w:val="04A0" w:firstRow="1" w:lastRow="0" w:firstColumn="1" w:lastColumn="0" w:noHBand="0" w:noVBand="1"/>
      </w:tblPr>
      <w:tblGrid>
        <w:gridCol w:w="1242"/>
        <w:gridCol w:w="1275"/>
        <w:gridCol w:w="849"/>
      </w:tblGrid>
      <w:tr>
        <w:tblPrEx/>
        <w:trPr/>
        <w:tc>
          <w:tcPr>
            <w:tcW w:w="1242" w:type="dxa"/>
            <w:vAlign w:val="center"/>
            <w:vMerge w:val="restart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bottom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х 95%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vAlign w:val="center"/>
            <w:vMerge w:val="restart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42" w:type="dxa"/>
            <w:vMerge w:val="continue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vMerge w:val="continue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 - размер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на реализацию одного проекта создания и (или) развития хозяйства;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- размер затрат на реализацию одного проекта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затрат получателя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предусмотренных настоящим пунктом, за счет иных направлений государственной поддержки не допускается.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размер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не может превышать размера, указанного в пункте 7 настоящего Порядка</w:t>
      </w:r>
      <w:r>
        <w:rPr>
          <w:rFonts w:ascii="Times New Roman" w:hAnsi="Times New Roman"/>
          <w:sz w:val="28"/>
          <w:szCs w:val="28"/>
        </w:rPr>
        <w:t xml:space="preserve">, с учетом направления использования.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предоставляемый конкретному заявителю, определяется решением комиссии по отбору проектов с учетом размера собственных средств грантополучателя, направленных на реализацию проекта создания и (или) ра</w:t>
      </w:r>
      <w:r>
        <w:rPr>
          <w:rFonts w:ascii="Times New Roman" w:hAnsi="Times New Roman"/>
          <w:sz w:val="28"/>
          <w:szCs w:val="28"/>
        </w:rPr>
        <w:t xml:space="preserve">звития хозяйства.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рассчитывается: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получателей субсидии (участников отбора), являющихся плательщиками налога на добавленную стоимость, без учета налога на добавленную стоимость;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получателей субсидии (участников отбора), не являющи</w:t>
      </w:r>
      <w:r>
        <w:rPr>
          <w:rFonts w:ascii="Times New Roman" w:hAnsi="Times New Roman"/>
          <w:sz w:val="28"/>
          <w:szCs w:val="28"/>
        </w:rPr>
        <w:t xml:space="preserve">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</w:t>
      </w:r>
      <w:r>
        <w:rPr>
          <w:rFonts w:ascii="Times New Roman" w:hAnsi="Times New Roman"/>
          <w:sz w:val="28"/>
          <w:szCs w:val="28"/>
        </w:rPr>
        <w:t xml:space="preserve">трат осуществляется исходя из фактических затрат получателя субсидии (участника отбора), включая сумму налога на добавленную стоимость.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Между министерством и получателями грантов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заключаются соглашения (договоры) о предоставлении из областного бюд</w:t>
      </w:r>
      <w:r>
        <w:rPr>
          <w:rFonts w:ascii="Times New Roman" w:hAnsi="Times New Roman"/>
          <w:sz w:val="28"/>
          <w:szCs w:val="28"/>
        </w:rPr>
        <w:t xml:space="preserve">жета Новосибирской области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(далее - соглашения).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Соглашения, дополнительные соглашения о внесении в них изменений, а также дополнительные соглашения о расторжении соглашения заключаются в соответствии с типовыми формами, устанавливаемыми Минист</w:t>
      </w:r>
      <w:r>
        <w:rPr>
          <w:rFonts w:ascii="Times New Roman" w:hAnsi="Times New Roman"/>
          <w:sz w:val="28"/>
          <w:szCs w:val="28"/>
        </w:rPr>
        <w:t xml:space="preserve">ерством финансов Российской Федерации,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соглашением, заключаемым между Министерством сельского хозяйства Российской Ф</w:t>
      </w:r>
      <w:r>
        <w:rPr>
          <w:rFonts w:ascii="Times New Roman" w:hAnsi="Times New Roman"/>
          <w:sz w:val="28"/>
          <w:szCs w:val="28"/>
        </w:rPr>
        <w:t xml:space="preserve">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пунктом 10 Правил формирования, предоставления и распределения субсидий из федерального бюджета бюдже</w:t>
      </w:r>
      <w:r>
        <w:rPr>
          <w:rFonts w:ascii="Times New Roman" w:hAnsi="Times New Roman"/>
          <w:sz w:val="28"/>
          <w:szCs w:val="28"/>
        </w:rPr>
        <w:t xml:space="preserve">там субъектов Российской Федерации, утвержденных постановлением Правительства Российской Федерации от 30.09.2014 № 999 «О формировании, предоставлении и распределении субсидий из федерального бюджета бюджетам субъектов Российской Федерации».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дол</w:t>
      </w:r>
      <w:r>
        <w:rPr>
          <w:rFonts w:ascii="Times New Roman" w:hAnsi="Times New Roman"/>
          <w:sz w:val="28"/>
          <w:szCs w:val="28"/>
        </w:rPr>
        <w:t xml:space="preserve">жно содержать: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согласие получателя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лиц, получающих средства на основании договоров, заключенных с получателем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р (за исключением государственных (муниципальных) унитарных предприятий, хозяйственных товариществ и обществ с </w:t>
      </w:r>
      <w:r>
        <w:rPr>
          <w:rFonts w:ascii="Times New Roman" w:hAnsi="Times New Roman"/>
          <w:sz w:val="28"/>
          <w:szCs w:val="28"/>
        </w:rPr>
        <w:t xml:space="preserve">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как получателем бюдже</w:t>
      </w:r>
      <w:r>
        <w:rPr>
          <w:rFonts w:ascii="Times New Roman" w:hAnsi="Times New Roman"/>
          <w:sz w:val="28"/>
          <w:szCs w:val="28"/>
        </w:rPr>
        <w:t xml:space="preserve">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получателями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порядка и условий предост</w:t>
      </w:r>
      <w:r>
        <w:rPr>
          <w:rFonts w:ascii="Times New Roman" w:hAnsi="Times New Roman"/>
          <w:sz w:val="28"/>
          <w:szCs w:val="28"/>
        </w:rPr>
        <w:t xml:space="preserve">авления гранта в соответствии со статьями 268.1 и 269.2 Бюджетного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запрет приобретения за счет денежных средств, полученных в счет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иностранной валюты, за исключением операций, осуществляемых в соответствии с ва</w:t>
      </w:r>
      <w:r>
        <w:rPr>
          <w:rFonts w:ascii="Times New Roman" w:hAnsi="Times New Roman"/>
          <w:sz w:val="28"/>
          <w:szCs w:val="28"/>
        </w:rPr>
        <w:t xml:space="preserve">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</w:t>
      </w:r>
      <w:r>
        <w:rPr>
          <w:rFonts w:ascii="Times New Roman" w:hAnsi="Times New Roman"/>
          <w:sz w:val="28"/>
          <w:szCs w:val="28"/>
        </w:rPr>
        <w:t xml:space="preserve">ом;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установленные министерством в соглашении значения результатов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10 настоящего Порядка;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условие о согласовании новых условий соглашения или о расторжении соглашения при недостижении согласия по нов</w:t>
      </w:r>
      <w:r>
        <w:rPr>
          <w:rFonts w:ascii="Times New Roman" w:hAnsi="Times New Roman"/>
          <w:sz w:val="28"/>
          <w:szCs w:val="28"/>
        </w:rPr>
        <w:t xml:space="preserve">ым условиям, в случае уменьшения министерству как получателю бюджетных средств ранее доведенных лимитов бюджетных обязательств, указанных в пункте 5 настоящего Порядка, </w:t>
      </w:r>
      <w:r>
        <w:rPr>
          <w:rFonts w:ascii="Times New Roman" w:hAnsi="Times New Roman"/>
          <w:sz w:val="28"/>
          <w:szCs w:val="28"/>
        </w:rPr>
        <w:t xml:space="preserve">приводящего к невозможности предоставления субсидии в размере, определенном в соглашени</w:t>
      </w:r>
      <w:r>
        <w:rPr>
          <w:rFonts w:ascii="Times New Roman" w:hAnsi="Times New Roman"/>
          <w:sz w:val="28"/>
          <w:szCs w:val="28"/>
        </w:rPr>
        <w:t xml:space="preserve">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обязательство получателя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о представлении в министерство дополнительного отчета о финансово-экономическом состоянии товаропроизводителей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промышленного комплекса по форме и в сроки, утверждаемые приказом Министерства сельского хозяйства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на текущий год.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представляет в министерство: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достижении результатов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указанных в пункте 10 настоящего Порядка, по форме, определенной типовыми формами соглашения, устанавливаем</w:t>
      </w:r>
      <w:r>
        <w:rPr>
          <w:rFonts w:ascii="Times New Roman" w:hAnsi="Times New Roman"/>
          <w:sz w:val="28"/>
          <w:szCs w:val="28"/>
        </w:rPr>
        <w:t xml:space="preserve">ыми Министерством финансов Российской Федерации, министерством финансов и налоговой политики Новосибирской области, ежегодно, в срок не позднее 12 января и 5 июля с года, следующего за годом предоставления </w:t>
      </w:r>
      <w:r>
        <w:rPr>
          <w:rFonts w:ascii="Times New Roman" w:hAnsi="Times New Roman"/>
          <w:sz w:val="28"/>
          <w:szCs w:val="28"/>
        </w:rPr>
        <w:t xml:space="preserve">гранта, в </w:t>
      </w:r>
      <w:r>
        <w:rPr>
          <w:rFonts w:ascii="Times New Roman" w:hAnsi="Times New Roman"/>
          <w:sz w:val="28"/>
          <w:szCs w:val="28"/>
        </w:rPr>
        <w:t xml:space="preserve">течение трех лет с</w:t>
      </w:r>
      <w:r>
        <w:rPr>
          <w:rFonts w:ascii="Times New Roman" w:hAnsi="Times New Roman"/>
          <w:sz w:val="28"/>
          <w:szCs w:val="28"/>
        </w:rPr>
        <w:t xml:space="preserve"> года предоставления г</w:t>
      </w:r>
      <w:r>
        <w:rPr>
          <w:rFonts w:ascii="Times New Roman" w:hAnsi="Times New Roman"/>
          <w:sz w:val="28"/>
          <w:szCs w:val="28"/>
        </w:rPr>
        <w:t xml:space="preserve">ранта;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осуществлении расходов, источником</w:t>
      </w:r>
      <w:r>
        <w:rPr>
          <w:rFonts w:ascii="Times New Roman" w:hAnsi="Times New Roman"/>
          <w:sz w:val="28"/>
          <w:szCs w:val="28"/>
        </w:rPr>
        <w:t xml:space="preserve"> финансового обеспечения которых является 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по форме, определенной типовыми формами соглашения, устанавливаемыми Министерством финансов Российской Федерации, министерством финансов и налоговой пол</w:t>
      </w:r>
      <w:r>
        <w:rPr>
          <w:rFonts w:ascii="Times New Roman" w:hAnsi="Times New Roman"/>
          <w:sz w:val="28"/>
          <w:szCs w:val="28"/>
        </w:rPr>
        <w:t xml:space="preserve">итики Новосибирской области, в срок не позднее пятого рабочего дня, следующего за отчетным кварталом.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вправе устанавливать в соглашении сроки и формы представления получателем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дополнительной отчетности.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соглашения, сформиров</w:t>
      </w:r>
      <w:r>
        <w:rPr>
          <w:rFonts w:ascii="Times New Roman" w:hAnsi="Times New Roman"/>
          <w:sz w:val="28"/>
          <w:szCs w:val="28"/>
        </w:rPr>
        <w:t xml:space="preserve">анный министерством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бюджет»), в течение десяти рабочих дней со дня оформления протокола об итогах конкурсного отб</w:t>
      </w:r>
      <w:r>
        <w:rPr>
          <w:rFonts w:ascii="Times New Roman" w:hAnsi="Times New Roman"/>
          <w:sz w:val="28"/>
          <w:szCs w:val="28"/>
        </w:rPr>
        <w:t xml:space="preserve">ора направляется на подписание получателю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подписывает соглашение в течение трех рабочих дней со дня его поступления в системе «Электронный бюджет».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подписывает соглашение в системе «Электронный бюджет» в теч</w:t>
      </w:r>
      <w:r>
        <w:rPr>
          <w:rFonts w:ascii="Times New Roman" w:hAnsi="Times New Roman"/>
          <w:sz w:val="28"/>
          <w:szCs w:val="28"/>
        </w:rPr>
        <w:t xml:space="preserve">ение двух рабочих дней со дня подписания соглашения получателем гранта.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нарушения получателем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установленного настоящим пунктом срока подписания соглашения получатель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считается уклонившимся от заключения соглашения.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</w:t>
      </w:r>
      <w:r>
        <w:rPr>
          <w:rFonts w:ascii="Times New Roman" w:hAnsi="Times New Roman"/>
          <w:sz w:val="28"/>
          <w:szCs w:val="28"/>
        </w:rPr>
        <w:t xml:space="preserve"> отказа получателя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от подписания соглашения или нарушения срока его подписания министерство аннулирует решение о предоставлении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и в течение пяти рабочих дней направляет письменное уведомление получателю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. В таком случае м</w:t>
      </w:r>
      <w:r>
        <w:rPr>
          <w:rFonts w:ascii="Times New Roman" w:hAnsi="Times New Roman"/>
          <w:sz w:val="28"/>
          <w:szCs w:val="28"/>
        </w:rPr>
        <w:t xml:space="preserve">инистерство заключает соглашение с участником отбора заявке, на участие в отборе которой присвоен последующий номер в рейтинге заявок.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Министерство принимает решение о предоставлении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и заключает соглашение с получателями гранта на основании</w:t>
      </w:r>
      <w:r>
        <w:rPr>
          <w:rFonts w:ascii="Times New Roman" w:hAnsi="Times New Roman"/>
          <w:sz w:val="28"/>
          <w:szCs w:val="28"/>
        </w:rPr>
        <w:t xml:space="preserve"> решения комиссии по отбору проектов, которое оформляется протоколом.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 Порядок объявления о проведении конкурсного отбора, сроки, порядок подачи документов, необходимых для проведения отбора, перечень таких документов, требования к документам, сроки и п</w:t>
      </w:r>
      <w:r>
        <w:rPr>
          <w:rFonts w:ascii="Times New Roman" w:hAnsi="Times New Roman"/>
          <w:sz w:val="28"/>
          <w:szCs w:val="28"/>
        </w:rPr>
        <w:t xml:space="preserve">орядок их рассмотрения, требования к получателю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основания для отказа получателю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в предоставлении гранта, порядок определения победителей конкурсного отбора устанавливаются Положением о конкурсном отборе.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 Срок использования гран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более 24 месяцев</w:t>
      </w:r>
      <w:r>
        <w:rPr>
          <w:rFonts w:ascii="Times New Roman" w:hAnsi="Times New Roman"/>
          <w:sz w:val="28"/>
          <w:szCs w:val="28"/>
        </w:rPr>
        <w:t xml:space="preserve"> с даты его получения. В случае наступления обстоятельств непреодолимой силы, препятствующих освоению средств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в установленный срок, срок использования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может быть продлен по решению министерства, но не более</w:t>
      </w:r>
      <w:r>
        <w:rPr>
          <w:rFonts w:ascii="Times New Roman" w:hAnsi="Times New Roman"/>
          <w:sz w:val="28"/>
          <w:szCs w:val="28"/>
        </w:rPr>
        <w:t xml:space="preserve"> чем на 6 месяцев, в установленном министерством порядке.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принятия министерством решения о продлении срока использования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является документальное подтверждение получателем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наступления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обстоятельств непреодолимой силы, препятствующих использованию средств гранта в установленный срок.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 Отказ получателю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в предоставлении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не является препятствием для повторного участия в конкурсном отборе.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 Перечисл</w:t>
      </w:r>
      <w:r>
        <w:rPr>
          <w:rFonts w:ascii="Times New Roman" w:hAnsi="Times New Roman"/>
          <w:sz w:val="28"/>
          <w:szCs w:val="28"/>
        </w:rPr>
        <w:t xml:space="preserve">ение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счета, открытые территориальным органом Федерального казначейства</w:t>
      </w:r>
      <w:r>
        <w:rPr>
          <w:rFonts w:ascii="Times New Roman" w:hAnsi="Times New Roman"/>
          <w:sz w:val="28"/>
          <w:szCs w:val="28"/>
        </w:rPr>
        <w:t xml:space="preserve"> в учреждении Центрального банка Российской Федерации для учета средств юридических лиц, не являющихся участниками бюджетного процесса.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242.25 Бюджетного кодекса Российской Федерации средства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предоставляемые получател</w:t>
      </w:r>
      <w:r>
        <w:rPr>
          <w:rFonts w:ascii="Times New Roman" w:hAnsi="Times New Roman"/>
          <w:sz w:val="28"/>
          <w:szCs w:val="28"/>
        </w:rPr>
        <w:t xml:space="preserve">ю средств, подлежат казначейскому сопровождению.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Перечисление средств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р осуществляется министерством не позднее 30 рабочих дней после заключения соглашения, предусмотренного пунктом 12 настоящего Порядка.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Получатели гранта представляют в мин</w:t>
      </w:r>
      <w:r>
        <w:rPr>
          <w:rFonts w:ascii="Times New Roman" w:hAnsi="Times New Roman"/>
          <w:sz w:val="28"/>
          <w:szCs w:val="28"/>
        </w:rPr>
        <w:t xml:space="preserve">истерство отчетность о достижении результатов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и об осуществлении расходов, источником финансового обеспечения которых является грант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в соответствии с пунктом 12 настоящего Порядка.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осуществляет проверку предста</w:t>
      </w:r>
      <w:r>
        <w:rPr>
          <w:rFonts w:ascii="Times New Roman" w:hAnsi="Times New Roman"/>
          <w:sz w:val="28"/>
          <w:szCs w:val="28"/>
        </w:rPr>
        <w:t xml:space="preserve">вленных получателями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отчетов в течение 15 рабочих дней с даты их поступления, по результатам которой: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принимает отчет;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возвращает отчет грантополучателю на доработку при наличии замечаний. Грантополучатель дорабатывает отчет в течение дес</w:t>
      </w:r>
      <w:r>
        <w:rPr>
          <w:rFonts w:ascii="Times New Roman" w:hAnsi="Times New Roman"/>
          <w:sz w:val="28"/>
          <w:szCs w:val="28"/>
        </w:rPr>
        <w:t xml:space="preserve">яти рабочих дней со дня его получения и представляет в министерство доработанный отчет для проведения повторной проверки.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достоверность представляемых заявителями документов, подтверждающих целевое использование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несут главы </w:t>
      </w:r>
      <w:r>
        <w:rPr>
          <w:rFonts w:ascii="Times New Roman" w:hAnsi="Times New Roman"/>
          <w:sz w:val="28"/>
          <w:szCs w:val="28"/>
        </w:rPr>
        <w:t xml:space="preserve">крестьянских (фермерских) хозяйств или индивидуальные предприниматели, являющиеся получателями средств.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целевое использование бюджетных средств несут главы крестьянских (фермерских) хозяйств или индивидуальные предприниматели, являющиеся</w:t>
      </w:r>
      <w:r>
        <w:rPr>
          <w:rFonts w:ascii="Times New Roman" w:hAnsi="Times New Roman"/>
          <w:sz w:val="28"/>
          <w:szCs w:val="28"/>
        </w:rPr>
        <w:t xml:space="preserve"> получателями средств.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о целевом использовании полученных грантов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должны быть подписаны главой крестьянского (фермерского) хозяйства или индивидуальным предпринимателем и заверены печатью (при наличии).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 Получатель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несет ответ</w:t>
      </w:r>
      <w:r>
        <w:rPr>
          <w:rFonts w:ascii="Times New Roman" w:hAnsi="Times New Roman"/>
          <w:sz w:val="28"/>
          <w:szCs w:val="28"/>
        </w:rPr>
        <w:t xml:space="preserve">ственность за предоставление недостоверных сведений в соответствии с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 Министерство осуществляет проверку соблюдения получателем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порядка и условий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в том числе в ч</w:t>
      </w:r>
      <w:r>
        <w:rPr>
          <w:rFonts w:ascii="Times New Roman" w:hAnsi="Times New Roman"/>
          <w:sz w:val="28"/>
          <w:szCs w:val="28"/>
        </w:rPr>
        <w:t xml:space="preserve">асти достижения результатов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а также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 В случае нарушения грантополучателем (у</w:t>
      </w:r>
      <w:r>
        <w:rPr>
          <w:rFonts w:ascii="Times New Roman" w:hAnsi="Times New Roman"/>
          <w:sz w:val="28"/>
          <w:szCs w:val="28"/>
        </w:rPr>
        <w:t xml:space="preserve">частником отбора) условий и порядка, установленных при их предоставлении, выявленного по фактам проверок, проведенных министерством и уполномоченными органами государственного финансового контроля, грантополучатель (участник отбора) возвращает денежные сре</w:t>
      </w:r>
      <w:r>
        <w:rPr>
          <w:rFonts w:ascii="Times New Roman" w:hAnsi="Times New Roman"/>
          <w:sz w:val="28"/>
          <w:szCs w:val="28"/>
        </w:rPr>
        <w:t xml:space="preserve">дства, полученные в счет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в полном объеме в областной бюджет Новосибирской области в течение 30 календарных дней со дня получения уведомления о возврате денежных средств.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 В случае неиспользования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в сроки, установленные </w:t>
      </w:r>
      <w:r>
        <w:rPr>
          <w:rFonts w:ascii="Times New Roman" w:hAnsi="Times New Roman"/>
          <w:sz w:val="28"/>
          <w:szCs w:val="28"/>
        </w:rPr>
        <w:t xml:space="preserve">пунктом 12 настоящего Порядка, получатель субсидии (участник отбора) возвращает остатки гранта в областной бюджет Новосибирской области в течение 10 рабочих дней с момента истечения срока использования гранта.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 В случае недостижения результатов предоста</w:t>
      </w:r>
      <w:r>
        <w:rPr>
          <w:rFonts w:ascii="Times New Roman" w:hAnsi="Times New Roman"/>
          <w:sz w:val="28"/>
          <w:szCs w:val="28"/>
        </w:rPr>
        <w:t xml:space="preserve">вления и значений результатов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установленных министерством в соглашении, объем средств, подлежащих возврату в областной бюджет Новосибирской области, рассчитывается по следующей формуле: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6730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1539"/>
        <w:gridCol w:w="1187"/>
        <w:gridCol w:w="1523"/>
        <w:gridCol w:w="496"/>
        <w:gridCol w:w="567"/>
        <w:gridCol w:w="992"/>
        <w:gridCol w:w="426"/>
      </w:tblGrid>
      <w:tr>
        <w:tblPrEx/>
        <w:trPr/>
        <w:tc>
          <w:tcPr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возврата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87" w:type="dxa"/>
            <w:vAlign w:val="center"/>
            <w:vMerge w:val="restart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грант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3" w:type="dxa"/>
            <w:vAlign w:val="bottom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SUM х Di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)x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53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7" w:type="dxa"/>
            <w:vMerge w:val="continue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1523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</w:tcBorders>
            <w:tcW w:w="567" w:type="dxa"/>
            <w:textDirection w:val="lrTb"/>
            <w:noWrap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  <w:szCs w:val="28"/>
        </w:rPr>
        <w:t xml:space="preserve"> - сумма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подлежащая возврату;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грант</w:t>
      </w:r>
      <w:r>
        <w:rPr>
          <w:rFonts w:ascii="Times New Roman" w:hAnsi="Times New Roman"/>
          <w:sz w:val="28"/>
          <w:szCs w:val="28"/>
        </w:rPr>
        <w:t xml:space="preserve"> - размер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предоставленного получателю субсидии (участнику отбора) в отчетном финансовом году;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 - количество показателей, по которым не достигнуты значения результатов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 - общее количество показателей, необходимых для достижения результатов предоставления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 - индекс, отражающий уровень недостижения i-го рез</w:t>
      </w:r>
      <w:r>
        <w:rPr>
          <w:rFonts w:ascii="Times New Roman" w:hAnsi="Times New Roman"/>
          <w:sz w:val="28"/>
          <w:szCs w:val="28"/>
        </w:rPr>
        <w:t xml:space="preserve">ультата использования субсидии, который рассчитывается по формуле: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center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 = 1 - Ti / Si,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 - фактически достигнутое значение i-го показателя, необходимого для достижения результатов предоставления гранта, на отчетную дату;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 - плановое значение i-го показателя, необходимого для достижения результатов предоставления гранта, установленное соглашением на текущий год.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10 рабочих дней со дня выявления указанных в настоящем пункте нарушений направляет получ</w:t>
      </w:r>
      <w:r>
        <w:rPr>
          <w:rFonts w:ascii="Times New Roman" w:hAnsi="Times New Roman"/>
          <w:sz w:val="28"/>
          <w:szCs w:val="28"/>
        </w:rPr>
        <w:t xml:space="preserve">ателю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уведомление о возврате полученных денежных средств.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обязан в течение 30 календарных дней со дня получения уведомления о возврате денежных средств, подлежащих возврату, перечислить указанные средства в областной бюдж</w:t>
      </w:r>
      <w:r>
        <w:rPr>
          <w:rFonts w:ascii="Times New Roman" w:hAnsi="Times New Roman"/>
          <w:sz w:val="28"/>
          <w:szCs w:val="28"/>
        </w:rPr>
        <w:t xml:space="preserve">ет Новосибирской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 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 Министерство и Министерство финансов Российской Федерации не реже </w:t>
      </w:r>
      <w:r>
        <w:rPr>
          <w:rFonts w:ascii="Times New Roman" w:hAnsi="Times New Roman"/>
          <w:sz w:val="28"/>
          <w:szCs w:val="28"/>
        </w:rPr>
        <w:t xml:space="preserve">одного раза в год проводят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</w:t>
      </w:r>
      <w:r>
        <w:rPr>
          <w:rFonts w:ascii="Times New Roman" w:hAnsi="Times New Roman"/>
          <w:sz w:val="28"/>
          <w:szCs w:val="28"/>
        </w:rPr>
        <w:t xml:space="preserve">зультата предоставления гранта (контрольная точка), в порядке и по формам, которые установлены приказом Министерства финансов Российской Федерации от 27.04.2024 № 53н «Об утверждении Порядка проведения мониторинга достижения результатов предоставления субс</w:t>
      </w:r>
      <w:r>
        <w:rPr>
          <w:rFonts w:ascii="Times New Roman" w:hAnsi="Times New Roman"/>
          <w:sz w:val="28"/>
          <w:szCs w:val="28"/>
        </w:rPr>
        <w:t xml:space="preserve">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 В случае призыва получателя гранта на военную служ</w:t>
      </w:r>
      <w:r>
        <w:rPr>
          <w:rFonts w:ascii="Times New Roman" w:hAnsi="Times New Roman"/>
          <w:sz w:val="28"/>
          <w:szCs w:val="28"/>
        </w:rPr>
        <w:t xml:space="preserve">бу в Вооруженные Силы Российской Федерации или введения в Новосибирской области среднего уровня реагирования в соответствии с Указом Президента Российской Федерации от 19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10.</w:t>
      </w:r>
      <w:r>
        <w:rPr>
          <w:rFonts w:ascii="Times New Roman" w:hAnsi="Times New Roman"/>
          <w:sz w:val="28"/>
          <w:szCs w:val="28"/>
        </w:rPr>
        <w:t xml:space="preserve">2022 № 757 «О мерах, осуществляемых в субъектах Российской Федерации в св</w:t>
      </w:r>
      <w:r>
        <w:rPr>
          <w:rFonts w:ascii="Times New Roman" w:hAnsi="Times New Roman"/>
          <w:sz w:val="28"/>
          <w:szCs w:val="28"/>
        </w:rPr>
        <w:t xml:space="preserve">язи с Указом Президента Российской Федерации от 19 октября 2022 № 756» (далее соответственно - призыв на военную службу, средний уровень реагирования) министерство принимает одно из следующих решений: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проекта создания и (или) развития хозяйства з</w:t>
      </w:r>
      <w:r>
        <w:rPr>
          <w:rFonts w:ascii="Times New Roman" w:hAnsi="Times New Roman"/>
          <w:sz w:val="28"/>
          <w:szCs w:val="28"/>
        </w:rPr>
        <w:t xml:space="preserve">авершенным, в случае, если средства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использованы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</w:t>
      </w:r>
      <w:r>
        <w:rPr>
          <w:rFonts w:ascii="Times New Roman" w:hAnsi="Times New Roman"/>
          <w:sz w:val="28"/>
          <w:szCs w:val="28"/>
        </w:rPr>
        <w:t xml:space="preserve">ли государственная регистрация </w:t>
      </w:r>
      <w:r>
        <w:rPr>
          <w:rFonts w:ascii="Times New Roman" w:hAnsi="Times New Roman"/>
          <w:sz w:val="28"/>
          <w:szCs w:val="28"/>
        </w:rPr>
        <w:t xml:space="preserve">прекращения крестьянского (фермерского) хозяйства. При этом грантополучатель освобождается от ответственности за недостижение плановых показателей деятельности;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возврата средств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в областной бюджет в об</w:t>
      </w:r>
      <w:r>
        <w:rPr>
          <w:rFonts w:ascii="Times New Roman" w:hAnsi="Times New Roman"/>
          <w:sz w:val="28"/>
          <w:szCs w:val="28"/>
        </w:rPr>
        <w:t xml:space="preserve">ъеме неиспользованных средств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в случае, если средства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</w:t>
      </w:r>
      <w:r>
        <w:rPr>
          <w:rFonts w:ascii="Times New Roman" w:hAnsi="Times New Roman"/>
          <w:sz w:val="28"/>
          <w:szCs w:val="28"/>
        </w:rPr>
        <w:t xml:space="preserve">ельности в качестве индивидуального предпринимателя или государственная регистрация прекращения крестьянского (фермерского) хозяйства. При этом проект создания и (или) развития хозяйства признается завершенным, а грантополучатель освобождается от ответстве</w:t>
      </w:r>
      <w:r>
        <w:rPr>
          <w:rFonts w:ascii="Times New Roman" w:hAnsi="Times New Roman"/>
          <w:sz w:val="28"/>
          <w:szCs w:val="28"/>
        </w:rPr>
        <w:t xml:space="preserve">нности за недостижение плановых показателей деятельности.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в абзацах втором и третьем настоящего пункта решения принимаются министерством по заявлению получателя гранта при представлении им документа, подтверждающего призыв на военную службу, или </w:t>
      </w:r>
      <w:r>
        <w:rPr>
          <w:rFonts w:ascii="Times New Roman" w:hAnsi="Times New Roman"/>
          <w:sz w:val="28"/>
          <w:szCs w:val="28"/>
        </w:rPr>
        <w:t xml:space="preserve">по заявлению получателя гранта при введении в Новосибирской области среднего уровня реагирования в порядке, установленном уполномоченным органом.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 В процессе реализации проекта создания и (или) развития хозяйства допускается смена главы крестьянского (ф</w:t>
      </w:r>
      <w:r>
        <w:rPr>
          <w:rFonts w:ascii="Times New Roman" w:hAnsi="Times New Roman"/>
          <w:sz w:val="28"/>
          <w:szCs w:val="28"/>
        </w:rPr>
        <w:t xml:space="preserve">ермерского) хозяйства, являющегося получателем гранта, по решению членов данного крестьянского (фермерского) хозяйства в соответствии с пунктом 1 статьи 18 Федерального закона «О крестьянском (фермерском) хозяйстве», что не влечет изменения (прекращения) с</w:t>
      </w:r>
      <w:r>
        <w:rPr>
          <w:rFonts w:ascii="Times New Roman" w:hAnsi="Times New Roman"/>
          <w:sz w:val="28"/>
          <w:szCs w:val="28"/>
        </w:rPr>
        <w:t xml:space="preserve">татуса крестьянского (фермерского) хозяйства в качестве получателя гранта. При этом министерство осуществляет замену главы такого крестьянского (фермерского) хозяйства в соглашении о предоставлении средств, заключенном между министерством и получателем гра</w:t>
      </w:r>
      <w:r>
        <w:rPr>
          <w:rFonts w:ascii="Times New Roman" w:hAnsi="Times New Roman"/>
          <w:sz w:val="28"/>
          <w:szCs w:val="28"/>
        </w:rPr>
        <w:t xml:space="preserve">нта, а новый глава крестьянского (фермерского) хозяйства осуществляет дальнейшую реализацию проекта создания и (или) развития хозяйства в соответствии с указанным соглашением.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 В случае реорганизации грантополучателя, являющегося юридическим лицом, в фо</w:t>
      </w:r>
      <w:r>
        <w:rPr>
          <w:rFonts w:ascii="Times New Roman" w:hAnsi="Times New Roman"/>
          <w:sz w:val="28"/>
          <w:szCs w:val="28"/>
        </w:rPr>
        <w:t xml:space="preserve">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р</w:t>
      </w:r>
      <w:r>
        <w:rPr>
          <w:rFonts w:ascii="Times New Roman" w:hAnsi="Times New Roman"/>
          <w:sz w:val="28"/>
          <w:szCs w:val="28"/>
        </w:rPr>
        <w:t xml:space="preserve">еорганизации грантополучателя, являющегося юридическим лицом, в форме разделения, выделения, а также при ликвидации грантополучателя, являющегося юридическим лицом, или прекращении деятельности грантополучателя, являющегося индивидуальным предпринимателем </w:t>
      </w:r>
      <w:r>
        <w:rPr>
          <w:rFonts w:ascii="Times New Roman" w:hAnsi="Times New Roman"/>
          <w:sz w:val="28"/>
          <w:szCs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до истечения трех лет с даты</w:t>
      </w:r>
      <w:r>
        <w:rPr>
          <w:rFonts w:ascii="Times New Roman" w:hAnsi="Times New Roman"/>
          <w:sz w:val="28"/>
          <w:szCs w:val="28"/>
        </w:rPr>
        <w:t xml:space="preserve"> получения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</w:t>
      </w:r>
      <w:r>
        <w:rPr>
          <w:rFonts w:ascii="Times New Roman" w:hAnsi="Times New Roman"/>
          <w:sz w:val="28"/>
          <w:szCs w:val="28"/>
        </w:rPr>
        <w:t xml:space="preserve">грантополучателем обязательствах, </w:t>
      </w:r>
      <w:r>
        <w:rPr>
          <w:rFonts w:ascii="Times New Roman" w:hAnsi="Times New Roman"/>
          <w:sz w:val="28"/>
          <w:szCs w:val="28"/>
        </w:rPr>
        <w:t xml:space="preserve">и возврате средств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 в бюджет Новосибирской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прекращения деятельности грантополучателя, являющегося индивидуальным предпринимателем, осуществляющим деятельность в качестве главы крестьянского (фермерского) хозяйства в со</w:t>
      </w:r>
      <w:r>
        <w:rPr>
          <w:rFonts w:ascii="Times New Roman" w:hAnsi="Times New Roman"/>
          <w:sz w:val="28"/>
          <w:szCs w:val="28"/>
        </w:rPr>
        <w:t xml:space="preserve">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 11.06.2003 № 74-ФЗ «О крестьянском (фермерском) хозяйстве», в соглашение</w:t>
      </w:r>
      <w:r>
        <w:rPr>
          <w:rFonts w:ascii="Times New Roman" w:hAnsi="Times New Roman"/>
          <w:sz w:val="28"/>
          <w:szCs w:val="28"/>
        </w:rPr>
        <w:t xml:space="preserve">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29. Получатели гранта </w:t>
      </w:r>
      <w:r>
        <w:rPr>
          <w:rFonts w:ascii="Times New Roman" w:hAnsi="Times New Roman"/>
          <w:sz w:val="28"/>
          <w:szCs w:val="28"/>
        </w:rPr>
        <w:t xml:space="preserve">Агрозащитник</w:t>
      </w:r>
      <w:r>
        <w:rPr>
          <w:rFonts w:ascii="Times New Roman" w:hAnsi="Times New Roman"/>
          <w:sz w:val="28"/>
          <w:szCs w:val="28"/>
        </w:rPr>
        <w:t xml:space="preserve">, пострадавшие в результате террористичес</w:t>
      </w:r>
      <w:r>
        <w:rPr>
          <w:rFonts w:ascii="Times New Roman" w:hAnsi="Times New Roman"/>
          <w:sz w:val="28"/>
          <w:szCs w:val="28"/>
        </w:rPr>
        <w:t xml:space="preserve">ких актов, освобождаются от ответственности за недостижение плановых показателей деятельности в порядке, определяемом министерством, при условии документального подтверждения факта причинения ущерба имуществу, которое используется для производства, первичн</w:t>
      </w:r>
      <w:r>
        <w:rPr>
          <w:rFonts w:ascii="Times New Roman" w:hAnsi="Times New Roman"/>
          <w:sz w:val="28"/>
          <w:szCs w:val="28"/>
        </w:rPr>
        <w:t xml:space="preserve">ой и (или) последующей (промышленной) переработки сельскохозяйственной продукции, в результате террористических актов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14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</w:p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674">
    <w:name w:val="Heading 1"/>
    <w:basedOn w:val="673"/>
    <w:next w:val="673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uiPriority w:val="10"/>
    <w:rPr>
      <w:sz w:val="48"/>
      <w:szCs w:val="48"/>
    </w:rPr>
  </w:style>
  <w:style w:type="character" w:styleId="696" w:customStyle="1">
    <w:name w:val="Subtitle Char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73"/>
    <w:next w:val="673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73"/>
    <w:next w:val="673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3"/>
    <w:next w:val="673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3"/>
    <w:next w:val="673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3"/>
    <w:link w:val="878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/>
    </w:rPr>
  </w:style>
  <w:style w:type="character" w:styleId="720" w:customStyle="1">
    <w:name w:val="Header Char"/>
    <w:uiPriority w:val="99"/>
  </w:style>
  <w:style w:type="paragraph" w:styleId="721">
    <w:name w:val="Footer"/>
    <w:basedOn w:val="673"/>
    <w:link w:val="87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84"/>
    <w:uiPriority w:val="59"/>
    <w:rPr>
      <w:rFonts w:ascii="Times New Roman" w:hAnsi="Times New Roman" w:eastAsia="Times New Roman"/>
    </w:rPr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3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3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3"/>
    <w:next w:val="673"/>
    <w:uiPriority w:val="39"/>
    <w:unhideWhenUsed/>
    <w:pPr>
      <w:spacing w:after="57"/>
    </w:pPr>
  </w:style>
  <w:style w:type="paragraph" w:styleId="859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60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61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2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3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4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5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6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3"/>
    <w:next w:val="673"/>
    <w:uiPriority w:val="99"/>
    <w:unhideWhenUsed/>
    <w:pPr>
      <w:spacing w:after="0"/>
    </w:pPr>
  </w:style>
  <w:style w:type="paragraph" w:styleId="869">
    <w:name w:val="List Paragraph"/>
    <w:basedOn w:val="673"/>
    <w:pPr>
      <w:ind w:left="720"/>
    </w:pPr>
  </w:style>
  <w:style w:type="paragraph" w:styleId="870" w:customStyle="1">
    <w:name w:val="ConsPlusNormal"/>
    <w:pPr>
      <w:widowControl w:val="off"/>
    </w:pPr>
    <w:rPr>
      <w:rFonts w:ascii="Arial" w:hAnsi="Arial" w:cs="Arial"/>
      <w:sz w:val="16"/>
      <w:szCs w:val="16"/>
    </w:rPr>
  </w:style>
  <w:style w:type="character" w:styleId="871">
    <w:name w:val="annotation reference"/>
    <w:semiHidden/>
    <w:rPr>
      <w:rFonts w:cs="Times New Roman"/>
      <w:sz w:val="16"/>
      <w:szCs w:val="16"/>
    </w:rPr>
  </w:style>
  <w:style w:type="paragraph" w:styleId="872">
    <w:name w:val="annotation text"/>
    <w:basedOn w:val="673"/>
    <w:link w:val="873"/>
    <w:semiHidden/>
    <w:pPr>
      <w:spacing w:line="240" w:lineRule="auto"/>
    </w:pPr>
    <w:rPr>
      <w:rFonts w:eastAsia="Calibri"/>
      <w:sz w:val="20"/>
      <w:szCs w:val="20"/>
      <w:lang w:val="en-US"/>
    </w:rPr>
  </w:style>
  <w:style w:type="character" w:styleId="873" w:customStyle="1">
    <w:name w:val="Текст примечания Знак"/>
    <w:link w:val="872"/>
    <w:semiHidden/>
    <w:rPr>
      <w:rFonts w:cs="Times New Roman"/>
      <w:sz w:val="20"/>
      <w:szCs w:val="20"/>
    </w:rPr>
  </w:style>
  <w:style w:type="paragraph" w:styleId="874">
    <w:name w:val="Balloon Text"/>
    <w:basedOn w:val="673"/>
    <w:link w:val="875"/>
    <w:semiHidden/>
    <w:pPr>
      <w:spacing w:after="0" w:line="240" w:lineRule="auto"/>
    </w:pPr>
    <w:rPr>
      <w:rFonts w:ascii="Segoe UI" w:hAnsi="Segoe UI" w:eastAsia="Calibri"/>
      <w:sz w:val="18"/>
      <w:szCs w:val="18"/>
      <w:lang w:val="en-US"/>
    </w:rPr>
  </w:style>
  <w:style w:type="character" w:styleId="875" w:customStyle="1">
    <w:name w:val="Текст выноски Знак"/>
    <w:link w:val="874"/>
    <w:semiHidden/>
    <w:rPr>
      <w:rFonts w:ascii="Segoe UI" w:hAnsi="Segoe UI" w:cs="Segoe UI"/>
      <w:sz w:val="18"/>
      <w:szCs w:val="18"/>
    </w:rPr>
  </w:style>
  <w:style w:type="paragraph" w:styleId="876">
    <w:name w:val="annotation subject"/>
    <w:basedOn w:val="872"/>
    <w:next w:val="872"/>
    <w:link w:val="877"/>
    <w:semiHidden/>
    <w:rPr>
      <w:b/>
      <w:bCs/>
    </w:rPr>
  </w:style>
  <w:style w:type="character" w:styleId="877" w:customStyle="1">
    <w:name w:val="Тема примечания Знак"/>
    <w:link w:val="876"/>
    <w:semiHidden/>
    <w:rPr>
      <w:rFonts w:cs="Times New Roman"/>
      <w:b/>
      <w:bCs/>
      <w:sz w:val="20"/>
      <w:szCs w:val="20"/>
    </w:rPr>
  </w:style>
  <w:style w:type="character" w:styleId="878" w:customStyle="1">
    <w:name w:val="Верхний колонтитул Знак"/>
    <w:link w:val="719"/>
    <w:rPr>
      <w:rFonts w:cs="Times New Roman"/>
    </w:rPr>
  </w:style>
  <w:style w:type="character" w:styleId="879" w:customStyle="1">
    <w:name w:val="Нижний колонтитул Знак"/>
    <w:link w:val="721"/>
    <w:rPr>
      <w:rFonts w:cs="Times New Roman"/>
    </w:rPr>
  </w:style>
  <w:style w:type="paragraph" w:styleId="880">
    <w:name w:val="Normal (Web)"/>
    <w:basedOn w:val="67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81" w:customStyle="1">
    <w:name w:val="formattext"/>
    <w:basedOn w:val="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Цилковская Евгения Викторовна</dc:creator>
  <cp:revision>22</cp:revision>
  <dcterms:created xsi:type="dcterms:W3CDTF">2025-03-16T11:06:00Z</dcterms:created>
  <dcterms:modified xsi:type="dcterms:W3CDTF">2025-03-27T06:38:52Z</dcterms:modified>
  <cp:version>786432</cp:version>
</cp:coreProperties>
</file>