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ind w:left="0" w:right="0" w:firstLine="54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</w:t>
      </w:r>
    </w:p>
    <w:p>
      <w:pPr>
        <w:spacing w:line="240" w:lineRule="auto"/>
        <w:ind w:left="0" w:right="0" w:firstLine="54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постановления Правительства </w:t>
      </w:r>
    </w:p>
    <w:p>
      <w:pPr>
        <w:spacing w:line="240" w:lineRule="auto"/>
        <w:ind w:left="0" w:right="0"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Новосибирской области</w:t>
      </w:r>
    </w:p>
    <w:p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26.10.2021 № 435-п</w:t>
      </w:r>
    </w:p>
    <w:p>
      <w:pPr>
        <w:pStyle w:val="ConsPlusNormal"/>
        <w:jc w:val="both"/>
        <w:rPr>
          <w:rFonts w:eastAsiaTheme="minorHAnsi"/>
          <w:szCs w:val="28"/>
          <w:lang w:eastAsia="en-US"/>
        </w:rPr>
      </w:pPr>
    </w:p>
    <w:p>
      <w:pPr>
        <w:pStyle w:val="ConsPlusNormal"/>
        <w:jc w:val="both"/>
      </w:pPr>
    </w:p>
    <w:p>
      <w:pPr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Правительство Новосибирской области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 о с т а н о в л я е т</w:t>
      </w:r>
      <w:r>
        <w:rPr>
          <w:rFonts w:ascii="Times New Roman" w:hAnsi="Times New Roman" w:cs="Times New Roman"/>
          <w:sz w:val="28"/>
        </w:rPr>
        <w:t xml:space="preserve">:</w:t>
      </w:r>
    </w:p>
    <w:p>
      <w:pPr>
        <w:ind w:left="0" w:right="-2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постановление Правительства Новосибирской области от 26.10.2021 № 435-п</w:t>
      </w:r>
      <w:r>
        <w:rPr>
          <w:rFonts w:ascii="Times New Roman" w:hAnsi="Times New Roman" w:cs="Times New Roman"/>
          <w:sz w:val="28"/>
        </w:rPr>
        <w:t xml:space="preserve"> «О региональном государственном строительном надзоре на территории Новосибирской области»</w:t>
      </w:r>
      <w:r>
        <w:rPr>
          <w:rFonts w:ascii="Times New Roman" w:hAnsi="Times New Roman" w:cs="Times New Roman"/>
          <w:sz w:val="28"/>
        </w:rPr>
        <w:t xml:space="preserve"> следующ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е изменени</w:t>
      </w:r>
      <w:r>
        <w:rPr>
          <w:rFonts w:ascii="Times New Roman" w:hAnsi="Times New Roman" w:cs="Times New Roman"/>
          <w:sz w:val="28"/>
        </w:rPr>
        <w:t xml:space="preserve">я</w:t>
      </w:r>
      <w:r>
        <w:rPr>
          <w:rFonts w:ascii="Times New Roman" w:hAnsi="Times New Roman" w:cs="Times New Roman"/>
          <w:sz w:val="28"/>
        </w:rPr>
        <w:t xml:space="preserve">:</w:t>
      </w:r>
    </w:p>
    <w:p>
      <w:pPr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о региональном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 строительном надзоре </w:t>
      </w:r>
      <w:r>
        <w:rPr>
          <w:rFonts w:ascii="Times New Roman" w:hAnsi="Times New Roman" w:cs="Times New Roman"/>
          <w:sz w:val="28"/>
        </w:rPr>
        <w:t xml:space="preserve">на</w:t>
      </w:r>
      <w:r>
        <w:rPr>
          <w:rFonts w:ascii="Times New Roman" w:hAnsi="Times New Roman" w:cs="Times New Roman"/>
          <w:sz w:val="28"/>
        </w:rPr>
        <w:t xml:space="preserve"> </w:t>
      </w:r>
      <w:r>
        <w:rPr>
          <w:rFonts w:ascii="Times New Roman" w:hAnsi="Times New Roman" w:cs="Times New Roman"/>
          <w:sz w:val="28"/>
        </w:rPr>
        <w:t xml:space="preserve">территории Новосибирской области</w:t>
      </w:r>
      <w:r>
        <w:rPr>
          <w:rFonts w:ascii="Times New Roman" w:hAnsi="Times New Roman" w:cs="Times New Roman"/>
          <w:sz w:val="28"/>
        </w:rPr>
        <w:t xml:space="preserve">:</w:t>
      </w:r>
    </w:p>
    <w:p>
      <w:pPr>
        <w:spacing w:line="240" w:lineRule="auto"/>
        <w:ind w:left="0" w:right="0" w:firstLine="708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</w:t>
      </w:r>
      <w:r>
        <w:rPr>
          <w:rFonts w:ascii="Times New Roman" w:hAnsi="Times New Roman" w:cs="Times New Roman"/>
          <w:sz w:val="28"/>
        </w:rPr>
        <w:t xml:space="preserve"> </w:t>
      </w:r>
      <w:r>
        <w:rPr>
          <w:rFonts w:ascii="Times New Roman" w:hAnsi="Times New Roman" w:cs="Times New Roman"/>
          <w:sz w:val="28"/>
        </w:rPr>
        <w:t xml:space="preserve">Пункт 16 изложить в следующей редакции:</w:t>
      </w:r>
    </w:p>
    <w:p>
      <w:pPr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«16. 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Контролируемое лицо, получившее предостережение о недопустимости нарушения обязательных требований, вправе подать в Инспекцию возражения. </w:t>
      </w:r>
      <w:r>
        <w:rPr>
          <w:rFonts w:ascii="Times New Roman" w:hAnsi="Times New Roman" w:cs="Times New Roman"/>
          <w:sz w:val="28"/>
          <w:szCs w:val="28"/>
        </w:rPr>
        <w:t xml:space="preserve">Возражения подаются в Инспекцию на бумажном носителе, почтовым отправлением, в виде электронного документа на адрес электронной почты, указанный в предостережении о недопустимости нарушения обязательных требований, в том числе </w:t>
      </w:r>
      <w:r>
        <w:rPr>
          <w:rFonts w:ascii="Times New Roman" w:hAnsi="Times New Roman" w:cs="Times New Roman"/>
          <w:sz w:val="28"/>
        </w:rPr>
        <w:t xml:space="preserve">через федеральную государственную </w:t>
      </w:r>
      <w:r>
        <w:rPr>
          <w:rFonts w:ascii="Times New Roman" w:hAnsi="Times New Roman" w:cs="Times New Roman"/>
          <w:sz w:val="28"/>
        </w:rPr>
        <w:t xml:space="preserve">информационную систему «Единый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</w:rPr>
        <w:t xml:space="preserve">»</w:t>
      </w:r>
      <w:r>
        <w:rPr>
          <w:rFonts w:ascii="Times New Roman" w:hAnsi="Times New Roman" w:cs="Times New Roman"/>
          <w:sz w:val="28"/>
        </w:rPr>
        <w:t xml:space="preserve"> (далее – ЕПГУ),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течение 15 рабочих дней со дня получения такого предостережения.».</w:t>
      </w:r>
    </w:p>
    <w:p>
      <w:pPr>
        <w:spacing w:line="240" w:lineRule="auto"/>
        <w:ind w:left="0" w:right="0"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 Пункты 25-25.5 изложить в следующей редакции: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«25. Профилактический визит проводится в соответствии со </w:t>
      </w:r>
      <w:hyperlink r:id="rId11" w:tooltip="https://login.consultant.ru/link/?req=doc&amp;base=LAW&amp;n=495001&amp;dst=100572" w:history="1">
        <w:r>
          <w:rPr>
            <w:szCs w:val="28"/>
          </w:rPr>
          <w:t xml:space="preserve">статьей 52</w:t>
        </w:r>
      </w:hyperlink>
      <w:r>
        <w:rPr>
          <w:szCs w:val="28"/>
        </w:rPr>
        <w:t xml:space="preserve"> Федерального закона.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25.1</w:t>
      </w:r>
      <w:r>
        <w:rPr>
          <w:szCs w:val="28"/>
        </w:rPr>
        <w:t xml:space="preserve">. </w:t>
      </w:r>
      <w:r>
        <w:rPr>
          <w:szCs w:val="28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</w:t>
      </w:r>
      <w:r>
        <w:rPr>
          <w:szCs w:val="28"/>
        </w:rPr>
        <w:t xml:space="preserve">о приложения «</w:t>
      </w:r>
      <w:r>
        <w:rPr>
          <w:szCs w:val="28"/>
        </w:rPr>
        <w:t xml:space="preserve">Инспектор</w:t>
      </w:r>
      <w:r>
        <w:rPr>
          <w:szCs w:val="28"/>
        </w:rPr>
        <w:t xml:space="preserve">»</w:t>
      </w:r>
      <w:r>
        <w:rPr>
          <w:szCs w:val="28"/>
        </w:rPr>
        <w:t xml:space="preserve">.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25.2</w:t>
      </w:r>
      <w:r>
        <w:rPr>
          <w:szCs w:val="28"/>
        </w:rPr>
        <w:t xml:space="preserve">. </w:t>
      </w:r>
      <w:r>
        <w:rPr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</w:t>
      </w:r>
      <w:r>
        <w:rPr>
          <w:szCs w:val="28"/>
        </w:rPr>
        <w:t xml:space="preserve"> </w:t>
      </w:r>
      <w:r>
        <w:rPr>
          <w:szCs w:val="28"/>
        </w:rPr>
        <w:t xml:space="preserve">принадлежащим ему объектам контроля</w:t>
      </w:r>
      <w:r>
        <w:rPr>
          <w:szCs w:val="28"/>
        </w:rPr>
        <w:t xml:space="preserve">, </w:t>
      </w:r>
      <w:r>
        <w:rPr>
          <w:szCs w:val="28"/>
        </w:rPr>
        <w:t xml:space="preserve">а инспектор осуществляет ознакомление с объектом контроля и проводит оценку уровня соблюдения контролируемым лицом обязательных требований.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25.3</w:t>
      </w:r>
      <w:r>
        <w:rPr>
          <w:szCs w:val="28"/>
        </w:rPr>
        <w:t xml:space="preserve">.</w:t>
      </w:r>
      <w:r>
        <w:rPr>
          <w:szCs w:val="28"/>
        </w:rPr>
        <w:t xml:space="preserve"> Профилактический визит проводится по инициативе Инспекции (обязательный профилактический визит) или по инициативе контролируемого </w:t>
      </w:r>
      <w:r>
        <w:rPr>
          <w:szCs w:val="28"/>
        </w:rPr>
        <w:t xml:space="preserve">лица</w:t>
      </w:r>
      <w:r>
        <w:rPr>
          <w:szCs w:val="28"/>
        </w:rPr>
        <w:t xml:space="preserve">.</w:t>
      </w:r>
      <w:bookmarkStart w:id="0" w:name="_GoBack"/>
      <w:bookmarkEnd w:id="0"/>
      <w:r>
        <w:rPr>
          <w:szCs w:val="28"/>
        </w:rPr>
        <w:t xml:space="preserve"> 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25.4</w:t>
      </w:r>
      <w:r>
        <w:rPr>
          <w:szCs w:val="28"/>
        </w:rPr>
        <w:t xml:space="preserve">.</w:t>
      </w:r>
      <w:r>
        <w:rPr>
          <w:szCs w:val="28"/>
        </w:rPr>
        <w:t xml:space="preserve"> Обязательный профилактический визит проводится в соответствии со</w:t>
      </w:r>
      <w:r>
        <w:rPr>
          <w:szCs w:val="28"/>
        </w:rPr>
        <w:t xml:space="preserve"> </w:t>
      </w:r>
      <w:hyperlink r:id="rId12" w:tooltip="https://login.consultant.ru/link/?req=doc&amp;base=LAW&amp;n=495001&amp;dst=100572" w:history="1">
        <w:r>
          <w:rPr>
            <w:szCs w:val="28"/>
          </w:rPr>
          <w:t xml:space="preserve">статьей 52</w:t>
        </w:r>
      </w:hyperlink>
      <w:r>
        <w:rPr>
          <w:szCs w:val="28"/>
        </w:rPr>
        <w:t xml:space="preserve">.1 Федерального закона.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25.</w:t>
      </w:r>
      <w:r>
        <w:rPr>
          <w:szCs w:val="28"/>
        </w:rPr>
        <w:t xml:space="preserve">4.1.</w:t>
      </w:r>
      <w:r>
        <w:rPr>
          <w:szCs w:val="28"/>
        </w:rPr>
        <w:t xml:space="preserve"> Обязательный профилактический визит не предусматривает отказ контроли</w:t>
      </w:r>
      <w:r>
        <w:rPr>
          <w:szCs w:val="28"/>
        </w:rPr>
        <w:t xml:space="preserve">руемого лица от его проведения.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25.</w:t>
      </w:r>
      <w:r>
        <w:rPr>
          <w:szCs w:val="28"/>
        </w:rPr>
        <w:t xml:space="preserve">4</w:t>
      </w:r>
      <w:r>
        <w:rPr>
          <w:szCs w:val="28"/>
        </w:rPr>
        <w:t xml:space="preserve">.</w:t>
      </w:r>
      <w:r>
        <w:rPr>
          <w:szCs w:val="28"/>
        </w:rPr>
        <w:t xml:space="preserve">2.</w:t>
      </w:r>
      <w:r>
        <w:rPr>
          <w:szCs w:val="28"/>
        </w:rPr>
        <w:t xml:space="preserve"> 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25.</w:t>
      </w:r>
      <w:r>
        <w:rPr>
          <w:szCs w:val="28"/>
        </w:rPr>
        <w:t xml:space="preserve">4.3</w:t>
      </w:r>
      <w:r>
        <w:rPr>
          <w:szCs w:val="28"/>
        </w:rPr>
        <w:t xml:space="preserve">.</w:t>
      </w:r>
      <w:r>
        <w:rPr>
          <w:szCs w:val="28"/>
        </w:rPr>
        <w:t xml:space="preserve"> 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25.</w:t>
      </w:r>
      <w:r>
        <w:rPr>
          <w:szCs w:val="28"/>
        </w:rPr>
        <w:t xml:space="preserve">4</w:t>
      </w:r>
      <w:r>
        <w:rPr>
          <w:szCs w:val="28"/>
        </w:rPr>
        <w:t xml:space="preserve">.</w:t>
      </w:r>
      <w:r>
        <w:rPr>
          <w:szCs w:val="28"/>
        </w:rPr>
        <w:t xml:space="preserve">4.</w:t>
      </w:r>
      <w:r>
        <w:rPr>
          <w:szCs w:val="28"/>
        </w:rPr>
        <w:t xml:space="preserve"> По окончании проведения обязательного профилактического визита составляется акт о проведении обязательного профилактического визита </w:t>
      </w:r>
      <w:r>
        <w:rPr>
          <w:szCs w:val="28"/>
        </w:rPr>
        <w:br/>
      </w:r>
      <w:r>
        <w:rPr>
          <w:szCs w:val="28"/>
        </w:rPr>
        <w:t xml:space="preserve">в порядке, предусмотренном статьей 90 Федерального закона для контрольных (надзорных) мероприятий.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25.</w:t>
      </w:r>
      <w:r>
        <w:rPr>
          <w:szCs w:val="28"/>
        </w:rPr>
        <w:t xml:space="preserve">4</w:t>
      </w:r>
      <w:r>
        <w:rPr>
          <w:szCs w:val="28"/>
        </w:rPr>
        <w:t xml:space="preserve">.</w:t>
      </w:r>
      <w:r>
        <w:rPr>
          <w:szCs w:val="28"/>
        </w:rPr>
        <w:t xml:space="preserve">5</w:t>
      </w:r>
      <w:r>
        <w:rPr>
          <w:szCs w:val="28"/>
        </w:rPr>
        <w:t xml:space="preserve">.</w:t>
      </w:r>
      <w:r>
        <w:rPr>
          <w:szCs w:val="28"/>
        </w:rPr>
        <w:t xml:space="preserve"> Предписание об устранении выявленных нарушений обязательных требований выдается контролируемому лицу в случае, если такие нарушения не</w:t>
      </w:r>
      <w:r>
        <w:rPr>
          <w:szCs w:val="28"/>
        </w:rPr>
        <w:t xml:space="preserve"> </w:t>
      </w:r>
      <w:r>
        <w:rPr>
          <w:szCs w:val="28"/>
        </w:rPr>
        <w:t xml:space="preserve">устранены до окончания проведения обязательного профилактического визита в порядке, предусмотренном </w:t>
      </w:r>
      <w:hyperlink r:id="rId13" w:tooltip="https://login.consultant.ru/link/?req=doc&amp;base=PRJ&amp;n=255110&amp;dst=100256&amp;field=134&amp;date=25.12.2024" w:history="1">
        <w:r>
          <w:rPr>
            <w:szCs w:val="28"/>
          </w:rPr>
          <w:t xml:space="preserve">статьей 90.1</w:t>
        </w:r>
      </w:hyperlink>
      <w:r>
        <w:rPr>
          <w:szCs w:val="28"/>
        </w:rPr>
        <w:t xml:space="preserve"> Федерального закона.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25.</w:t>
      </w:r>
      <w:r>
        <w:rPr>
          <w:szCs w:val="28"/>
        </w:rPr>
        <w:t xml:space="preserve">5</w:t>
      </w:r>
      <w:r>
        <w:rPr>
          <w:szCs w:val="28"/>
        </w:rPr>
        <w:t xml:space="preserve">.</w:t>
      </w:r>
      <w:r>
        <w:rPr>
          <w:szCs w:val="28"/>
        </w:rPr>
        <w:t xml:space="preserve"> Профилактический визит по инициативе контролируемого лица проводится в соответствии со статьей 52.2 Федерального закона</w:t>
      </w:r>
      <w:r>
        <w:rPr>
          <w:szCs w:val="28"/>
        </w:rPr>
        <w:t xml:space="preserve">.</w:t>
      </w:r>
      <w:r>
        <w:rPr>
          <w:szCs w:val="28"/>
        </w:rPr>
        <w:t xml:space="preserve">».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3. Дополнить пунктами 25.</w:t>
      </w:r>
      <w:r>
        <w:rPr>
          <w:szCs w:val="28"/>
        </w:rPr>
        <w:t xml:space="preserve">5.1-25.5.7</w:t>
      </w:r>
      <w:r>
        <w:rPr>
          <w:szCs w:val="28"/>
        </w:rPr>
        <w:t xml:space="preserve"> следующего содержания: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  <w:t xml:space="preserve">25.</w:t>
      </w:r>
      <w:r>
        <w:rPr>
          <w:szCs w:val="28"/>
        </w:rPr>
        <w:t xml:space="preserve">5.</w:t>
      </w:r>
      <w:r>
        <w:rPr>
          <w:szCs w:val="28"/>
        </w:rPr>
        <w:t xml:space="preserve">1</w:t>
      </w:r>
      <w:r>
        <w:rPr>
          <w:szCs w:val="28"/>
        </w:rPr>
        <w:t xml:space="preserve">.</w:t>
      </w:r>
      <w:r>
        <w:rPr>
          <w:szCs w:val="28"/>
        </w:rPr>
        <w:t xml:space="preserve"> 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25.</w:t>
      </w:r>
      <w:r>
        <w:rPr>
          <w:szCs w:val="28"/>
        </w:rPr>
        <w:t xml:space="preserve">5.</w:t>
      </w:r>
      <w:r>
        <w:rPr>
          <w:szCs w:val="28"/>
        </w:rPr>
        <w:t xml:space="preserve">2</w:t>
      </w:r>
      <w:r>
        <w:rPr>
          <w:szCs w:val="28"/>
        </w:rPr>
        <w:t xml:space="preserve">.</w:t>
      </w:r>
      <w:r>
        <w:rPr>
          <w:szCs w:val="28"/>
        </w:rPr>
        <w:t xml:space="preserve"> Контролируемое лицо подает заявление о проведении профилактического </w:t>
      </w:r>
      <w:r>
        <w:rPr>
          <w:szCs w:val="28"/>
        </w:rPr>
        <w:t xml:space="preserve">визита (далее – заявление) посредством</w:t>
      </w:r>
      <w:r>
        <w:rPr>
          <w:szCs w:val="28"/>
        </w:rPr>
        <w:t xml:space="preserve"> </w:t>
      </w:r>
      <w:r>
        <w:rPr>
          <w:szCs w:val="28"/>
        </w:rPr>
        <w:t xml:space="preserve">ЕПГУ</w:t>
      </w:r>
      <w:r>
        <w:rPr>
          <w:szCs w:val="28"/>
        </w:rPr>
        <w:t xml:space="preserve"> или регионального портала государственных и муниципальных услуг. Инспекция рассматривает заявление в</w:t>
      </w:r>
      <w:r>
        <w:rPr>
          <w:szCs w:val="28"/>
        </w:rPr>
        <w:t xml:space="preserve"> </w:t>
      </w:r>
      <w:r>
        <w:rPr>
          <w:szCs w:val="28"/>
        </w:rPr>
        <w:t xml:space="preserve">течение десяти рабочих дней и принимает решение о</w:t>
      </w:r>
      <w:r>
        <w:rPr>
          <w:szCs w:val="28"/>
        </w:rPr>
        <w:t xml:space="preserve"> </w:t>
      </w:r>
      <w:r>
        <w:rPr>
          <w:szCs w:val="28"/>
        </w:rPr>
        <w:t xml:space="preserve">проведении профилактического визита либо об отказе в его проведении, о чем уведомляет контролируемое лицо.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25.</w:t>
      </w:r>
      <w:r>
        <w:rPr>
          <w:szCs w:val="28"/>
        </w:rPr>
        <w:t xml:space="preserve">5.</w:t>
      </w:r>
      <w:r>
        <w:rPr>
          <w:szCs w:val="28"/>
        </w:rPr>
        <w:t xml:space="preserve">3. В случае принятия решения о проведении профилактического визита </w:t>
      </w:r>
      <w:r>
        <w:rPr>
          <w:szCs w:val="28"/>
        </w:rPr>
        <w:t xml:space="preserve">И</w:t>
      </w:r>
      <w:r>
        <w:rPr>
          <w:szCs w:val="28"/>
        </w:rPr>
        <w:t xml:space="preserve">нспекция в течение двадцати рабочих дней согласовывает дату его проведения с</w:t>
      </w:r>
      <w:r>
        <w:rPr>
          <w:szCs w:val="28"/>
        </w:rPr>
        <w:t xml:space="preserve"> </w:t>
      </w:r>
      <w:r>
        <w:rPr>
          <w:szCs w:val="28"/>
        </w:rPr>
        <w:t xml:space="preserve">контролируемым лицом любым способом, обеспечивающим фи</w:t>
      </w:r>
      <w:r>
        <w:rPr>
          <w:szCs w:val="28"/>
        </w:rPr>
        <w:t xml:space="preserve">ксирование такого согласования.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25.</w:t>
      </w:r>
      <w:r>
        <w:rPr>
          <w:szCs w:val="28"/>
        </w:rPr>
        <w:t xml:space="preserve">5.</w:t>
      </w:r>
      <w:r>
        <w:rPr>
          <w:szCs w:val="28"/>
        </w:rPr>
        <w:t xml:space="preserve">4</w:t>
      </w:r>
      <w:r>
        <w:rPr>
          <w:szCs w:val="28"/>
        </w:rPr>
        <w:t xml:space="preserve">.</w:t>
      </w:r>
      <w:r>
        <w:rPr>
          <w:szCs w:val="28"/>
        </w:rPr>
        <w:t xml:space="preserve"> Контролируемое лицо вправе отозвать заявление либо направить отказ от проведения профилактического визита, уведомив об этом </w:t>
      </w:r>
      <w:r>
        <w:rPr>
          <w:szCs w:val="28"/>
        </w:rPr>
        <w:t xml:space="preserve">И</w:t>
      </w:r>
      <w:r>
        <w:rPr>
          <w:szCs w:val="28"/>
        </w:rPr>
        <w:t xml:space="preserve">нспекцию не</w:t>
      </w:r>
      <w:r>
        <w:rPr>
          <w:szCs w:val="28"/>
        </w:rPr>
        <w:t xml:space="preserve"> </w:t>
      </w:r>
      <w:r>
        <w:rPr>
          <w:szCs w:val="28"/>
        </w:rPr>
        <w:t xml:space="preserve">позднее</w:t>
      </w:r>
      <w:r>
        <w:rPr>
          <w:szCs w:val="28"/>
        </w:rPr>
        <w:t xml:space="preserve"> чем за пять рабочих дней до даты его проведения.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25.5</w:t>
      </w:r>
      <w:r>
        <w:rPr>
          <w:szCs w:val="28"/>
        </w:rPr>
        <w:t xml:space="preserve">.</w:t>
      </w:r>
      <w:r>
        <w:rPr>
          <w:szCs w:val="28"/>
        </w:rPr>
        <w:t xml:space="preserve">5.</w:t>
      </w:r>
      <w:r>
        <w:rPr>
          <w:szCs w:val="28"/>
        </w:rPr>
        <w:t xml:space="preserve"> Разъяснения и рекомендации, полученные контролируемым лицом в</w:t>
      </w:r>
      <w:r>
        <w:rPr>
          <w:szCs w:val="28"/>
        </w:rPr>
        <w:t xml:space="preserve"> </w:t>
      </w:r>
      <w:r>
        <w:rPr>
          <w:szCs w:val="28"/>
        </w:rPr>
        <w:t xml:space="preserve">ходе профилактического визита, носят рекомендательный характер.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25.</w:t>
      </w:r>
      <w:r>
        <w:rPr>
          <w:szCs w:val="28"/>
        </w:rPr>
        <w:t xml:space="preserve">5.</w:t>
      </w:r>
      <w:r>
        <w:rPr>
          <w:szCs w:val="28"/>
        </w:rPr>
        <w:t xml:space="preserve">6</w:t>
      </w:r>
      <w:r>
        <w:rPr>
          <w:szCs w:val="28"/>
        </w:rPr>
        <w:t xml:space="preserve">.</w:t>
      </w:r>
      <w:r>
        <w:rPr>
          <w:szCs w:val="28"/>
        </w:rPr>
        <w:t xml:space="preserve"> Предписания об устранении выявленных в ходе профилактического визита нарушений обязательных требований контролируемым лицам не могут </w:t>
      </w:r>
      <w:r>
        <w:rPr>
          <w:szCs w:val="28"/>
        </w:rPr>
        <w:t xml:space="preserve">выдаваться.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25.</w:t>
      </w:r>
      <w:r>
        <w:rPr>
          <w:szCs w:val="28"/>
        </w:rPr>
        <w:t xml:space="preserve">5.</w:t>
      </w:r>
      <w:r>
        <w:rPr>
          <w:szCs w:val="28"/>
        </w:rPr>
        <w:t xml:space="preserve">7</w:t>
      </w:r>
      <w:r>
        <w:rPr>
          <w:szCs w:val="28"/>
        </w:rPr>
        <w:t xml:space="preserve">.</w:t>
      </w:r>
      <w:r>
        <w:rPr>
          <w:szCs w:val="28"/>
        </w:rPr>
        <w:t xml:space="preserve"> В случае</w:t>
      </w:r>
      <w:r>
        <w:rPr>
          <w:szCs w:val="28"/>
        </w:rPr>
        <w:t xml:space="preserve">,</w:t>
      </w:r>
      <w:r>
        <w:rPr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</w:t>
      </w:r>
      <w:r>
        <w:rPr>
          <w:szCs w:val="28"/>
        </w:rPr>
        <w:t xml:space="preserve"> </w:t>
      </w:r>
      <w:r>
        <w:rPr>
          <w:szCs w:val="28"/>
        </w:rPr>
        <w:t xml:space="preserve">этом уполномоченному должностному лицу </w:t>
      </w:r>
      <w:r>
        <w:rPr>
          <w:szCs w:val="28"/>
        </w:rPr>
        <w:t xml:space="preserve">И</w:t>
      </w:r>
      <w:r>
        <w:rPr>
          <w:szCs w:val="28"/>
        </w:rPr>
        <w:t xml:space="preserve">нспекции для принятия решения о проведении контрольных (надзорных) мероприятий.</w:t>
      </w:r>
      <w:r>
        <w:rPr>
          <w:szCs w:val="28"/>
        </w:rPr>
        <w:t xml:space="preserve">»</w:t>
      </w:r>
      <w:r>
        <w:rPr>
          <w:szCs w:val="28"/>
        </w:rPr>
        <w:t xml:space="preserve">.</w:t>
      </w:r>
    </w:p>
    <w:p>
      <w:pPr>
        <w:spacing w:line="240" w:lineRule="auto"/>
        <w:ind w:left="0" w:right="0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 В пункте 30 слова «извещения о начале работ» заменить словами «извещения о начале работ по строительству, реконструкции объекта капитального строительства, направленного в соответствии с </w:t>
      </w:r>
      <w:hyperlink r:id="rId14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частью 5 статьи 52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(далее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извещение о начале работ)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5</w:t>
      </w:r>
      <w:r>
        <w:rPr>
          <w:szCs w:val="28"/>
        </w:rPr>
        <w:t xml:space="preserve">. Пункт 45 изложить в следующей редакции: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«45. </w:t>
      </w:r>
      <w:r>
        <w:rPr>
          <w:szCs w:val="28"/>
        </w:rPr>
        <w:t xml:space="preserve">Решение о проведении контрольного (надзорного) мероприятия принимается начальником (заместителем начальника) Инспекции</w:t>
      </w:r>
      <w:r>
        <w:rPr>
          <w:szCs w:val="28"/>
        </w:rPr>
        <w:t xml:space="preserve">.</w:t>
      </w:r>
      <w:r>
        <w:rPr>
          <w:szCs w:val="28"/>
        </w:rPr>
        <w:t xml:space="preserve">».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6</w:t>
      </w:r>
      <w:r>
        <w:rPr>
          <w:szCs w:val="28"/>
        </w:rPr>
        <w:t xml:space="preserve">. </w:t>
      </w:r>
      <w:r>
        <w:rPr>
          <w:szCs w:val="28"/>
        </w:rPr>
        <w:t xml:space="preserve">Д</w:t>
      </w:r>
      <w:r>
        <w:rPr>
          <w:szCs w:val="28"/>
        </w:rPr>
        <w:t xml:space="preserve">ополнить пунктами 55.</w:t>
      </w:r>
      <w:r>
        <w:rPr>
          <w:szCs w:val="28"/>
        </w:rPr>
        <w:t xml:space="preserve">1</w:t>
      </w:r>
      <w:r>
        <w:rPr>
          <w:szCs w:val="28"/>
        </w:rPr>
        <w:t xml:space="preserve">, 55.</w:t>
      </w:r>
      <w:r>
        <w:rPr>
          <w:szCs w:val="28"/>
        </w:rPr>
        <w:t xml:space="preserve">2</w:t>
      </w:r>
      <w:r>
        <w:rPr>
          <w:szCs w:val="28"/>
        </w:rPr>
        <w:t xml:space="preserve"> следующего содержания: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«55.</w:t>
      </w:r>
      <w:r>
        <w:rPr>
          <w:szCs w:val="28"/>
        </w:rPr>
        <w:t xml:space="preserve">1</w:t>
      </w:r>
      <w:r>
        <w:rPr>
          <w:szCs w:val="28"/>
        </w:rPr>
        <w:t xml:space="preserve">.</w:t>
      </w:r>
      <w:r>
        <w:rPr>
          <w:szCs w:val="28"/>
        </w:rPr>
        <w:t xml:space="preserve"> </w:t>
      </w:r>
      <w:r>
        <w:rPr>
          <w:szCs w:val="28"/>
        </w:rPr>
        <w:t xml:space="preserve"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55.</w:t>
      </w:r>
      <w:r>
        <w:rPr>
          <w:szCs w:val="28"/>
        </w:rPr>
        <w:t xml:space="preserve">2</w:t>
      </w:r>
      <w:r>
        <w:rPr>
          <w:szCs w:val="28"/>
        </w:rPr>
        <w:t xml:space="preserve">.</w:t>
      </w:r>
      <w:r>
        <w:rPr>
          <w:szCs w:val="28"/>
        </w:rPr>
        <w:t xml:space="preserve"> Осмотр, опрос,</w:t>
      </w:r>
      <w:r>
        <w:rPr>
          <w:szCs w:val="28"/>
        </w:rPr>
        <w:t xml:space="preserve"> экспертиза</w:t>
      </w:r>
      <w:r>
        <w:rPr>
          <w:szCs w:val="28"/>
        </w:rPr>
        <w:t xml:space="preserve"> могут осуществляться с использованием средств дистанционного взаимодействия, в том числе посредством </w:t>
      </w:r>
      <w:r>
        <w:rPr>
          <w:szCs w:val="28"/>
        </w:rPr>
        <w:br/>
      </w:r>
      <w:r>
        <w:rPr>
          <w:szCs w:val="28"/>
        </w:rPr>
        <w:t xml:space="preserve">видео-конференц-связи, а также с использованием мобильного приложения </w:t>
      </w:r>
      <w:r>
        <w:rPr>
          <w:szCs w:val="28"/>
        </w:rPr>
        <w:t xml:space="preserve">«</w:t>
      </w:r>
      <w:r>
        <w:rPr>
          <w:szCs w:val="28"/>
        </w:rPr>
        <w:t xml:space="preserve">Инспектор</w:t>
      </w:r>
      <w:r>
        <w:rPr>
          <w:szCs w:val="28"/>
        </w:rPr>
        <w:t xml:space="preserve">»</w:t>
      </w:r>
      <w:r>
        <w:rPr>
          <w:szCs w:val="28"/>
        </w:rPr>
        <w:t xml:space="preserve">»</w:t>
      </w:r>
      <w:r>
        <w:rPr>
          <w:szCs w:val="28"/>
        </w:rPr>
        <w:t xml:space="preserve">.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7</w:t>
      </w:r>
      <w:r>
        <w:rPr>
          <w:szCs w:val="28"/>
        </w:rPr>
        <w:t xml:space="preserve">. В пункте 71 слова «и статьей 60» </w:t>
      </w:r>
      <w:r>
        <w:rPr>
          <w:szCs w:val="28"/>
        </w:rPr>
        <w:t xml:space="preserve">исключить.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8</w:t>
      </w:r>
      <w:r>
        <w:rPr>
          <w:szCs w:val="28"/>
        </w:rPr>
        <w:t xml:space="preserve">. Раздел </w:t>
      </w:r>
      <w:r>
        <w:rPr>
          <w:szCs w:val="28"/>
        </w:rPr>
        <w:t xml:space="preserve">V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>
        <w:rPr>
          <w:szCs w:val="28"/>
        </w:rPr>
        <w:t xml:space="preserve">«</w:t>
      </w:r>
      <w:r>
        <w:rPr>
          <w:szCs w:val="28"/>
        </w:rPr>
        <w:t xml:space="preserve">Управление рисками причинения вреда (ущерба) охраняемым</w:t>
      </w:r>
      <w:r>
        <w:rPr>
          <w:szCs w:val="28"/>
        </w:rPr>
        <w:t xml:space="preserve"> </w:t>
      </w:r>
      <w:r>
        <w:rPr>
          <w:szCs w:val="28"/>
        </w:rPr>
        <w:t xml:space="preserve">законом ценностям при осуществлении регионального</w:t>
      </w:r>
      <w:r>
        <w:rPr>
          <w:szCs w:val="28"/>
        </w:rPr>
        <w:t xml:space="preserve"> </w:t>
      </w:r>
      <w:r>
        <w:rPr>
          <w:szCs w:val="28"/>
        </w:rPr>
        <w:t xml:space="preserve">государственного строительного надзора</w:t>
      </w:r>
      <w:r>
        <w:rPr>
          <w:szCs w:val="28"/>
        </w:rPr>
        <w:t xml:space="preserve">» признать утратившим силу.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9</w:t>
      </w:r>
      <w:r>
        <w:rPr>
          <w:szCs w:val="28"/>
        </w:rPr>
        <w:t xml:space="preserve">. </w:t>
      </w:r>
      <w:r>
        <w:rPr>
          <w:szCs w:val="28"/>
        </w:rPr>
        <w:t xml:space="preserve">Д</w:t>
      </w:r>
      <w:r>
        <w:rPr>
          <w:szCs w:val="28"/>
        </w:rPr>
        <w:t xml:space="preserve">ополнить пунктом 91.1 следующего содержания: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«91.1. </w:t>
      </w:r>
      <w:r>
        <w:rPr>
          <w:szCs w:val="28"/>
        </w:rPr>
        <w:t xml:space="preserve">Жалоба на решения, действия (бездействие) начальника </w:t>
      </w:r>
      <w:r>
        <w:rPr>
          <w:szCs w:val="28"/>
        </w:rPr>
        <w:t xml:space="preserve">И</w:t>
      </w:r>
      <w:r>
        <w:rPr>
          <w:szCs w:val="28"/>
        </w:rPr>
        <w:t xml:space="preserve">нспекции рассматривается начальником </w:t>
      </w:r>
      <w:r>
        <w:rPr>
          <w:szCs w:val="28"/>
        </w:rPr>
        <w:t xml:space="preserve">И</w:t>
      </w:r>
      <w:r>
        <w:rPr>
          <w:szCs w:val="28"/>
        </w:rPr>
        <w:t xml:space="preserve">нспекции</w:t>
      </w:r>
      <w:r>
        <w:rPr>
          <w:szCs w:val="28"/>
        </w:rPr>
        <w:t xml:space="preserve">.</w:t>
      </w:r>
      <w:r>
        <w:rPr>
          <w:szCs w:val="28"/>
        </w:rPr>
        <w:t xml:space="preserve">».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10. Дополнить пунктом 9</w:t>
      </w:r>
      <w:r>
        <w:rPr>
          <w:szCs w:val="28"/>
        </w:rPr>
        <w:t xml:space="preserve">2</w:t>
      </w:r>
      <w:r>
        <w:rPr>
          <w:szCs w:val="28"/>
        </w:rPr>
        <w:t xml:space="preserve">.2 </w:t>
      </w:r>
      <w:r>
        <w:rPr>
          <w:szCs w:val="28"/>
        </w:rPr>
        <w:t xml:space="preserve">следующего содержания:</w:t>
      </w:r>
    </w:p>
    <w:p>
      <w:pPr>
        <w:spacing w:line="240" w:lineRule="auto"/>
        <w:ind w:left="0" w:right="0" w:firstLine="708"/>
        <w:jc w:val="both"/>
        <w:rPr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Жалоба на предписание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Инспекции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может быть подана в течение десяти рабочих дней с момента получения контролируемым лицом предписания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</w:p>
    <w:p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1</w:t>
      </w:r>
      <w:r>
        <w:rPr>
          <w:szCs w:val="28"/>
        </w:rPr>
        <w:t xml:space="preserve">. Приложение </w:t>
      </w:r>
      <w:r>
        <w:rPr>
          <w:szCs w:val="28"/>
        </w:rPr>
        <w:t xml:space="preserve">«Критерии отнесения объектов регионального государственного строительного надзора к категориям риска причинения вреда (ущерба) охраняемым законом ценностям»</w:t>
      </w:r>
      <w:r>
        <w:rPr>
          <w:szCs w:val="28"/>
        </w:rPr>
        <w:t xml:space="preserve"> признать утратившим силу.</w:t>
      </w:r>
    </w:p>
    <w:p>
      <w:pPr>
        <w:pStyle w:val="ConsPlusNormal"/>
        <w:ind w:firstLine="540"/>
        <w:jc w:val="both"/>
        <w:rPr>
          <w:szCs w:val="28"/>
        </w:rPr>
      </w:pPr>
    </w:p>
    <w:p>
      <w:pPr>
        <w:pStyle w:val="ConsPlusNormal"/>
        <w:ind w:firstLine="540"/>
        <w:jc w:val="both"/>
        <w:rPr>
          <w:szCs w:val="28"/>
        </w:rPr>
      </w:pPr>
    </w:p>
    <w:p>
      <w:pPr>
        <w:pStyle w:val="ConsPlusNormal"/>
        <w:ind w:firstLine="540"/>
        <w:jc w:val="both"/>
        <w:rPr>
          <w:szCs w:val="28"/>
        </w:rPr>
      </w:pPr>
    </w:p>
    <w:p>
      <w:pPr>
        <w:pStyle w:val="ConsPlusNormal"/>
        <w:jc w:val="both"/>
      </w:pPr>
      <w:r>
        <w:t xml:space="preserve">Губернатор</w:t>
      </w:r>
      <w:r>
        <w:t xml:space="preserve"> </w:t>
      </w:r>
      <w:r>
        <w:t xml:space="preserve">Новосибирской</w:t>
      </w:r>
      <w:r>
        <w:t xml:space="preserve"> </w:t>
      </w:r>
      <w:r>
        <w:t xml:space="preserve">области                                      </w:t>
      </w:r>
      <w:r>
        <w:t xml:space="preserve">  </w:t>
      </w:r>
      <w:r>
        <w:t xml:space="preserve">      </w:t>
      </w:r>
      <w:r>
        <w:t xml:space="preserve">  </w:t>
      </w:r>
      <w:r>
        <w:t xml:space="preserve">  </w:t>
      </w:r>
      <w:r>
        <w:t xml:space="preserve"> </w:t>
      </w:r>
      <w:r>
        <w:t xml:space="preserve"> А.А. Травников</w:t>
      </w:r>
    </w:p>
    <w:p>
      <w:pPr>
        <w:spacing w:line="240" w:lineRule="auto"/>
        <w:ind w:left="0" w:right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pStyle w:val="ConsPlusNormal"/>
        <w:outlineLvl w:val="0"/>
        <w:rPr>
          <w:sz w:val="20"/>
        </w:rPr>
      </w:pPr>
      <w:r>
        <w:rPr>
          <w:sz w:val="20"/>
        </w:rPr>
        <w:t xml:space="preserve">О.Ю. Михальченко</w:t>
      </w:r>
    </w:p>
    <w:p>
      <w:pPr>
        <w:pStyle w:val="ConsPlusNormal"/>
        <w:outlineLvl w:val="0"/>
        <w:rPr>
          <w:sz w:val="20"/>
        </w:rPr>
      </w:pPr>
      <w:r>
        <w:rPr>
          <w:sz w:val="20"/>
        </w:rPr>
        <w:t xml:space="preserve">296</w:t>
      </w:r>
      <w:r>
        <w:rPr>
          <w:sz w:val="20"/>
        </w:rPr>
        <w:t xml:space="preserve"> </w:t>
      </w:r>
      <w:r>
        <w:rPr>
          <w:sz w:val="20"/>
        </w:rPr>
        <w:t xml:space="preserve">58</w:t>
      </w:r>
      <w:r>
        <w:rPr>
          <w:sz w:val="20"/>
        </w:rPr>
        <w:t xml:space="preserve"> </w:t>
      </w:r>
      <w:r>
        <w:rPr>
          <w:sz w:val="20"/>
        </w:rPr>
        <w:t xml:space="preserve">65 </w:t>
      </w:r>
    </w:p>
    <w:p>
      <w:pPr>
        <w:spacing w:line="240" w:lineRule="auto"/>
        <w:ind w:left="0" w:right="-99"/>
        <w:rPr>
          <w:rFonts w:ascii="Times New Roman" w:hAnsi="Times New Roman" w:eastAsia="Times New Roman" w:cs="Times New Roman"/>
          <w:sz w:val="28"/>
          <w:szCs w:val="20"/>
          <w:lang w:eastAsia="x-none"/>
        </w:rPr>
      </w:pPr>
      <w:r>
        <w:rPr>
          <w:rFonts w:ascii="Times New Roman" w:hAnsi="Times New Roman" w:eastAsia="Times New Roman" w:cs="Times New Roman"/>
          <w:sz w:val="28"/>
          <w:szCs w:val="20"/>
          <w:lang w:val="x-none" w:eastAsia="x-none"/>
        </w:rPr>
        <w:t xml:space="preserve">СОГЛАСОВАНО</w:t>
      </w:r>
    </w:p>
    <w:p>
      <w:pPr>
        <w:spacing w:line="240" w:lineRule="auto"/>
        <w:ind w:left="0" w:right="-99"/>
        <w:rPr>
          <w:rFonts w:ascii="Times New Roman" w:hAnsi="Times New Roman" w:eastAsia="Times New Roman" w:cs="Times New Roman"/>
          <w:sz w:val="28"/>
          <w:szCs w:val="20"/>
          <w:lang w:eastAsia="x-none"/>
        </w:rPr>
      </w:pPr>
    </w:p>
    <w:p>
      <w:pPr>
        <w:spacing w:line="240" w:lineRule="auto"/>
        <w:ind w:left="0" w:right="-99"/>
        <w:jc w:val="both"/>
        <w:rPr>
          <w:rFonts w:ascii="Times New Roman" w:hAnsi="Times New Roman" w:eastAsia="Times New Roman" w:cs="Times New Roman"/>
          <w:sz w:val="26"/>
          <w:szCs w:val="26"/>
          <w:lang w:eastAsia="x-none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179"/>
        <w:gridCol w:w="1592"/>
        <w:gridCol w:w="3543"/>
      </w:tblGrid>
      <w:tr>
        <w:tc>
          <w:tcPr>
            <w:tcW w:w="5179" w:type="dxa"/>
            <w:shd w:val="clear" w:color="auto" w:fill="auto"/>
          </w:tcPr>
          <w:p>
            <w:pPr>
              <w:spacing w:line="240" w:lineRule="auto"/>
              <w:ind w:left="0" w:right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</w:t>
            </w:r>
          </w:p>
          <w:p>
            <w:pPr>
              <w:spacing w:line="240" w:lineRule="auto"/>
              <w:ind w:left="0" w:right="0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Правительства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>
            <w:pPr>
              <w:spacing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spacing w:line="240" w:lineRule="auto"/>
              <w:ind w:left="0" w:right="0"/>
              <w:jc w:val="right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</w:p>
          <w:p>
            <w:pPr>
              <w:spacing w:line="240" w:lineRule="auto"/>
              <w:ind w:left="0" w:right="0"/>
              <w:jc w:val="right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  <w:t xml:space="preserve">В.М. </w:t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  <w:t xml:space="preserve">Знатков</w:t>
            </w:r>
          </w:p>
        </w:tc>
      </w:tr>
      <w:tr>
        <w:tc>
          <w:tcPr>
            <w:tcW w:w="5179" w:type="dxa"/>
            <w:shd w:val="clear" w:color="auto" w:fill="auto"/>
          </w:tcPr>
          <w:p>
            <w:pPr>
              <w:spacing w:line="240" w:lineRule="auto"/>
              <w:ind w:left="0" w:right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  <w:p>
            <w:pPr>
              <w:spacing w:line="240" w:lineRule="auto"/>
              <w:ind w:left="0" w:right="0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>
            <w:pPr>
              <w:spacing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spacing w:line="240" w:lineRule="auto"/>
              <w:ind w:left="0" w:right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«___»_____202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г.</w:t>
            </w:r>
          </w:p>
        </w:tc>
      </w:tr>
      <w:tr>
        <w:tc>
          <w:tcPr>
            <w:tcW w:w="5179" w:type="dxa"/>
            <w:shd w:val="clear" w:color="auto" w:fill="auto"/>
          </w:tcPr>
          <w:p>
            <w:pPr>
              <w:spacing w:line="240" w:lineRule="auto"/>
              <w:ind w:left="0" w:right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Министр юстиции </w:t>
            </w:r>
          </w:p>
          <w:p>
            <w:pPr>
              <w:spacing w:line="240" w:lineRule="auto"/>
              <w:ind w:left="0" w:right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Новосибирской области</w:t>
            </w:r>
          </w:p>
        </w:tc>
        <w:tc>
          <w:tcPr>
            <w:tcW w:w="1592" w:type="dxa"/>
            <w:shd w:val="clear" w:color="auto" w:fill="auto"/>
          </w:tcPr>
          <w:p>
            <w:pPr>
              <w:spacing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spacing w:line="240" w:lineRule="auto"/>
              <w:ind w:left="0" w:right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line="240" w:lineRule="auto"/>
              <w:ind w:left="0" w:right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Т.Н.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Деркач</w:t>
            </w:r>
          </w:p>
        </w:tc>
      </w:tr>
      <w:tr>
        <w:tc>
          <w:tcPr>
            <w:tcW w:w="5179" w:type="dxa"/>
            <w:shd w:val="clear" w:color="auto" w:fill="auto"/>
          </w:tcPr>
          <w:p>
            <w:pPr>
              <w:spacing w:line="240" w:lineRule="auto"/>
              <w:ind w:left="0" w:right="0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</w:p>
          <w:p>
            <w:pPr>
              <w:spacing w:line="240" w:lineRule="auto"/>
              <w:ind w:left="0" w:right="0"/>
              <w:rPr>
                <w:rFonts w:ascii="Times New Roman" w:hAnsi="Times New Roman" w:eastAsia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>
            <w:pPr>
              <w:spacing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spacing w:line="240" w:lineRule="auto"/>
              <w:ind w:left="0" w:right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«___»_____202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г.</w:t>
            </w:r>
          </w:p>
        </w:tc>
      </w:tr>
      <w:tr>
        <w:tc>
          <w:tcPr>
            <w:tcW w:w="5179" w:type="dxa"/>
            <w:shd w:val="clear" w:color="auto" w:fill="auto"/>
          </w:tcPr>
          <w:p>
            <w:pPr>
              <w:spacing w:line="240" w:lineRule="auto"/>
              <w:ind w:left="0" w:right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Министр экономического развития Новосибирской области</w:t>
            </w:r>
          </w:p>
        </w:tc>
        <w:tc>
          <w:tcPr>
            <w:tcW w:w="1592" w:type="dxa"/>
            <w:shd w:val="clear" w:color="auto" w:fill="auto"/>
          </w:tcPr>
          <w:p>
            <w:pPr>
              <w:spacing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spacing w:line="240" w:lineRule="auto"/>
              <w:ind w:left="0" w:right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line="240" w:lineRule="auto"/>
              <w:ind w:left="0" w:right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Л.Н. Решетников</w:t>
            </w:r>
          </w:p>
        </w:tc>
      </w:tr>
      <w:tr>
        <w:tc>
          <w:tcPr>
            <w:tcW w:w="5179" w:type="dxa"/>
            <w:shd w:val="clear" w:color="auto" w:fill="auto"/>
          </w:tcPr>
          <w:p>
            <w:pPr>
              <w:spacing w:line="240" w:lineRule="auto"/>
              <w:ind w:left="0" w:right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>
            <w:pPr>
              <w:spacing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spacing w:line="240" w:lineRule="auto"/>
              <w:ind w:left="0" w:right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«___»_____202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г.</w:t>
            </w:r>
          </w:p>
        </w:tc>
      </w:tr>
      <w:tr>
        <w:tc>
          <w:tcPr>
            <w:tcW w:w="5179" w:type="dxa"/>
            <w:shd w:val="clear" w:color="auto" w:fill="auto"/>
          </w:tcPr>
          <w:p>
            <w:pPr>
              <w:spacing w:line="240" w:lineRule="auto"/>
              <w:ind w:left="0" w:right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line="240" w:lineRule="auto"/>
              <w:ind w:left="0" w:right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И.о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ачальник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инспекции </w:t>
            </w:r>
          </w:p>
          <w:p>
            <w:pPr>
              <w:spacing w:line="240" w:lineRule="auto"/>
              <w:ind w:left="0" w:right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государственного строительного надзора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>
            <w:pPr>
              <w:spacing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spacing w:line="240" w:lineRule="auto"/>
              <w:ind w:left="0" w:right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line="240" w:lineRule="auto"/>
              <w:ind w:left="0" w:right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line="240" w:lineRule="auto"/>
              <w:ind w:left="0" w:right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О.Ю. Михальченко</w:t>
            </w:r>
          </w:p>
          <w:p>
            <w:pPr>
              <w:spacing w:line="240" w:lineRule="auto"/>
              <w:ind w:left="0" w:right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«___»_____202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г.</w:t>
            </w:r>
          </w:p>
        </w:tc>
      </w:tr>
      <w:tr>
        <w:tc>
          <w:tcPr>
            <w:tcW w:w="5179" w:type="dxa"/>
            <w:shd w:val="clear" w:color="auto" w:fill="auto"/>
          </w:tcPr>
          <w:p>
            <w:pPr>
              <w:spacing w:line="240" w:lineRule="auto"/>
              <w:ind w:left="0" w:right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>
            <w:pPr>
              <w:spacing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spacing w:line="240" w:lineRule="auto"/>
              <w:ind w:left="0" w:right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spacing w:line="240" w:lineRule="auto"/>
        <w:ind w:left="0" w:right="-99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179"/>
        <w:gridCol w:w="1592"/>
        <w:gridCol w:w="3543"/>
      </w:tblGrid>
      <w:tr>
        <w:tc>
          <w:tcPr>
            <w:tcW w:w="5179" w:type="dxa"/>
            <w:shd w:val="clear" w:color="auto" w:fill="auto"/>
          </w:tcPr>
          <w:p>
            <w:pPr>
              <w:spacing w:line="240" w:lineRule="auto"/>
              <w:ind w:left="0" w:right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Начальник отдела судебно-правовой работы инспекции </w:t>
            </w:r>
          </w:p>
          <w:p>
            <w:pPr>
              <w:spacing w:line="240" w:lineRule="auto"/>
              <w:ind w:left="0" w:right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государственного строительного надзора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>
            <w:pPr>
              <w:spacing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spacing w:line="240" w:lineRule="auto"/>
              <w:ind w:left="0" w:right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line="240" w:lineRule="auto"/>
              <w:ind w:left="0" w:right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С.М. Малицкий</w:t>
            </w:r>
          </w:p>
          <w:p>
            <w:pPr>
              <w:spacing w:line="240" w:lineRule="auto"/>
              <w:ind w:left="0" w:right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«___»_____202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г.</w:t>
            </w:r>
          </w:p>
        </w:tc>
      </w:tr>
      <w:tr>
        <w:tc>
          <w:tcPr>
            <w:tcW w:w="5179" w:type="dxa"/>
            <w:shd w:val="clear" w:color="auto" w:fill="auto"/>
          </w:tcPr>
          <w:p>
            <w:pPr>
              <w:spacing w:line="240" w:lineRule="auto"/>
              <w:ind w:left="0" w:right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>
            <w:pPr>
              <w:spacing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spacing w:line="240" w:lineRule="auto"/>
              <w:ind w:left="0" w:right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>
      <w:pPr>
        <w:pStyle w:val="ConsPlusNormal"/>
        <w:outlineLvl w:val="0"/>
        <w:rPr>
          <w:sz w:val="20"/>
        </w:rPr>
      </w:pPr>
    </w:p>
    <w:sectPr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Serif">
    <w:panose1 w:val="020206030504050203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d"/>
      <w:jc w:val="center"/>
      <w:rPr>
        <w:rFonts w:ascii="Times New Roman" w:hAnsi="Times New Roman" w:cs="Times New Roman"/>
        <w:sz w:val="28"/>
        <w:szCs w:val="28"/>
      </w:rPr>
    </w:pPr>
  </w:p>
  <w:p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entative="1" w:tplc="04190019">
      <w:start w:val="1"/>
      <w:numFmt w:val="lowerLetter"/>
      <w:lvlText w:val="%2."/>
      <w:lvlJc w:val="left"/>
      <w:pPr>
        <w:ind w:left="2280" w:hanging="360"/>
      </w:pPr>
    </w:lvl>
    <w:lvl w:ilvl="2" w:tentative="1" w:tplc="0419001B">
      <w:start w:val="1"/>
      <w:numFmt w:val="lowerRoman"/>
      <w:lvlText w:val="%3."/>
      <w:lvlJc w:val="right"/>
      <w:pPr>
        <w:ind w:left="3000" w:hanging="180"/>
      </w:pPr>
    </w:lvl>
    <w:lvl w:ilvl="3" w:tentative="1" w:tplc="0419000F">
      <w:start w:val="1"/>
      <w:numFmt w:val="decimal"/>
      <w:lvlText w:val="%4."/>
      <w:lvlJc w:val="left"/>
      <w:pPr>
        <w:ind w:left="3720" w:hanging="360"/>
      </w:pPr>
    </w:lvl>
    <w:lvl w:ilvl="4" w:tentative="1" w:tplc="04190019">
      <w:start w:val="1"/>
      <w:numFmt w:val="lowerLetter"/>
      <w:lvlText w:val="%5."/>
      <w:lvlJc w:val="left"/>
      <w:pPr>
        <w:ind w:left="4440" w:hanging="360"/>
      </w:pPr>
    </w:lvl>
    <w:lvl w:ilvl="5" w:tentative="1" w:tplc="0419001B">
      <w:start w:val="1"/>
      <w:numFmt w:val="lowerRoman"/>
      <w:lvlText w:val="%6."/>
      <w:lvlJc w:val="right"/>
      <w:pPr>
        <w:ind w:left="5160" w:hanging="180"/>
      </w:pPr>
    </w:lvl>
    <w:lvl w:ilvl="6" w:tentative="1" w:tplc="0419000F">
      <w:start w:val="1"/>
      <w:numFmt w:val="decimal"/>
      <w:lvlText w:val="%7."/>
      <w:lvlJc w:val="left"/>
      <w:pPr>
        <w:ind w:left="5880" w:hanging="360"/>
      </w:pPr>
    </w:lvl>
    <w:lvl w:ilvl="7" w:tentative="1" w:tplc="04190019">
      <w:start w:val="1"/>
      <w:numFmt w:val="lowerLetter"/>
      <w:lvlText w:val="%8."/>
      <w:lvlJc w:val="left"/>
      <w:pPr>
        <w:ind w:left="6600" w:hanging="360"/>
      </w:pPr>
    </w:lvl>
    <w:lvl w:ilvl="8" w:tentative="1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multiLevelType w:val="hybridMultilevel"/>
    <w:lvl w:ilvl="0">
      <w:start w:val="1"/>
      <w:numFmt w:val="decimal"/>
      <w:lvlText w:val="Статья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 w:ascii="Times New Roman" w:hAnsi="Times New Roman"/>
        <w:b w:val="0"/>
        <w:i w:val="0"/>
        <w:caps w:val="0"/>
        <w:strike w:val="0"/>
        <w:color w:val="auto"/>
        <w:sz w:val="28"/>
        <w:szCs w:val="3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plc="290AEA94">
      <w:start w:val="1"/>
      <w:numFmt w:val="decimal"/>
      <w:lvlText w:val="%1)"/>
      <w:lvlJc w:val="left"/>
      <w:pPr>
        <w:ind w:left="2225" w:hanging="360"/>
      </w:pPr>
      <w:rPr>
        <w:rFonts w:hint="default"/>
        <w:color w:val="auto"/>
      </w:rPr>
    </w:lvl>
    <w:lvl w:ilvl="1" w:tentative="1" w:tplc="04190019">
      <w:start w:val="1"/>
      <w:numFmt w:val="lowerLetter"/>
      <w:lvlText w:val="%2."/>
      <w:lvlJc w:val="left"/>
      <w:pPr>
        <w:ind w:left="2945" w:hanging="360"/>
      </w:pPr>
    </w:lvl>
    <w:lvl w:ilvl="2" w:tentative="1" w:tplc="0419001B">
      <w:start w:val="1"/>
      <w:numFmt w:val="lowerRoman"/>
      <w:lvlText w:val="%3."/>
      <w:lvlJc w:val="right"/>
      <w:pPr>
        <w:ind w:left="3665" w:hanging="180"/>
      </w:pPr>
    </w:lvl>
    <w:lvl w:ilvl="3" w:tentative="1" w:tplc="0419000F">
      <w:start w:val="1"/>
      <w:numFmt w:val="decimal"/>
      <w:lvlText w:val="%4."/>
      <w:lvlJc w:val="left"/>
      <w:pPr>
        <w:ind w:left="4385" w:hanging="360"/>
      </w:pPr>
    </w:lvl>
    <w:lvl w:ilvl="4" w:tentative="1" w:tplc="04190019">
      <w:start w:val="1"/>
      <w:numFmt w:val="lowerLetter"/>
      <w:lvlText w:val="%5."/>
      <w:lvlJc w:val="left"/>
      <w:pPr>
        <w:ind w:left="5105" w:hanging="360"/>
      </w:pPr>
    </w:lvl>
    <w:lvl w:ilvl="5" w:tentative="1" w:tplc="0419001B">
      <w:start w:val="1"/>
      <w:numFmt w:val="lowerRoman"/>
      <w:lvlText w:val="%6."/>
      <w:lvlJc w:val="right"/>
      <w:pPr>
        <w:ind w:left="5825" w:hanging="180"/>
      </w:pPr>
    </w:lvl>
    <w:lvl w:ilvl="6" w:tentative="1" w:tplc="0419000F">
      <w:start w:val="1"/>
      <w:numFmt w:val="decimal"/>
      <w:lvlText w:val="%7."/>
      <w:lvlJc w:val="left"/>
      <w:pPr>
        <w:ind w:left="6545" w:hanging="360"/>
      </w:pPr>
    </w:lvl>
    <w:lvl w:ilvl="7" w:tentative="1" w:tplc="04190019">
      <w:start w:val="1"/>
      <w:numFmt w:val="lowerLetter"/>
      <w:lvlText w:val="%8."/>
      <w:lvlJc w:val="left"/>
      <w:pPr>
        <w:ind w:left="7265" w:hanging="360"/>
      </w:pPr>
    </w:lvl>
    <w:lvl w:ilvl="8" w:tentative="1" w:tplc="0419001B">
      <w:start w:val="1"/>
      <w:numFmt w:val="lowerRoman"/>
      <w:lvlText w:val="%9."/>
      <w:lvlJc w:val="right"/>
      <w:pPr>
        <w:ind w:left="7985" w:hanging="180"/>
      </w:p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495" w:hanging="360"/>
      </w:pPr>
      <w:rPr>
        <w:rFonts w:hint="default" w:ascii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 w:tplc="D43C9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69B6FDA0">
      <w:start w:val="1"/>
      <w:numFmt w:val="decimal"/>
      <w:lvlText w:val="%1."/>
      <w:lvlJc w:val="left"/>
      <w:pPr>
        <w:ind w:left="5039" w:hanging="360"/>
      </w:pPr>
      <w:rPr>
        <w:rFonts w:hint="default" w:ascii="Times New Roman" w:hAnsi="Times New Roman" w:cs="Times New Roman"/>
      </w:rPr>
    </w:lvl>
    <w:lvl w:ilvl="1" w:tplc="2F24C8F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plc="DBB0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38EAC28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  <w:sz w:val="22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 w:tplc="C77C6362">
      <w:start w:val="26"/>
      <w:numFmt w:val="decimal"/>
      <w:lvlText w:val="%1."/>
      <w:lvlJc w:val="left"/>
      <w:pPr>
        <w:ind w:left="2487" w:hanging="360"/>
      </w:pPr>
      <w:rPr>
        <w:rFonts w:hint="default" w:eastAsia="Calibri"/>
      </w:rPr>
    </w:lvl>
    <w:lvl w:ilvl="1" w:tentative="1" w:tplc="04190019">
      <w:start w:val="1"/>
      <w:numFmt w:val="lowerLetter"/>
      <w:lvlText w:val="%2."/>
      <w:lvlJc w:val="left"/>
      <w:pPr>
        <w:ind w:left="306" w:hanging="360"/>
      </w:pPr>
    </w:lvl>
    <w:lvl w:ilvl="2" w:tentative="1" w:tplc="0419001B">
      <w:start w:val="1"/>
      <w:numFmt w:val="lowerRoman"/>
      <w:lvlText w:val="%3."/>
      <w:lvlJc w:val="right"/>
      <w:pPr>
        <w:ind w:left="1026" w:hanging="180"/>
      </w:pPr>
    </w:lvl>
    <w:lvl w:ilvl="3" w:tentative="1" w:tplc="0419000F">
      <w:start w:val="1"/>
      <w:numFmt w:val="decimal"/>
      <w:lvlText w:val="%4."/>
      <w:lvlJc w:val="left"/>
      <w:pPr>
        <w:ind w:left="1746" w:hanging="360"/>
      </w:pPr>
    </w:lvl>
    <w:lvl w:ilvl="4" w:tentative="1" w:tplc="04190019">
      <w:start w:val="1"/>
      <w:numFmt w:val="lowerLetter"/>
      <w:lvlText w:val="%5."/>
      <w:lvlJc w:val="left"/>
      <w:pPr>
        <w:ind w:left="2466" w:hanging="360"/>
      </w:pPr>
    </w:lvl>
    <w:lvl w:ilvl="5" w:tentative="1" w:tplc="0419001B">
      <w:start w:val="1"/>
      <w:numFmt w:val="lowerRoman"/>
      <w:lvlText w:val="%6."/>
      <w:lvlJc w:val="right"/>
      <w:pPr>
        <w:ind w:left="3186" w:hanging="180"/>
      </w:pPr>
    </w:lvl>
    <w:lvl w:ilvl="6" w:tentative="1" w:tplc="0419000F">
      <w:start w:val="1"/>
      <w:numFmt w:val="decimal"/>
      <w:lvlText w:val="%7."/>
      <w:lvlJc w:val="left"/>
      <w:pPr>
        <w:ind w:left="3906" w:hanging="360"/>
      </w:pPr>
    </w:lvl>
    <w:lvl w:ilvl="7" w:tentative="1" w:tplc="04190019">
      <w:start w:val="1"/>
      <w:numFmt w:val="lowerLetter"/>
      <w:lvlText w:val="%8."/>
      <w:lvlJc w:val="left"/>
      <w:pPr>
        <w:ind w:left="4626" w:hanging="360"/>
      </w:pPr>
    </w:lvl>
    <w:lvl w:ilvl="8" w:tentative="1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 w:tplc="264CB464">
      <w:start w:val="1"/>
      <w:numFmt w:val="decimal"/>
      <w:lvlText w:val="%1."/>
      <w:lvlJc w:val="left"/>
      <w:pPr>
        <w:ind w:left="1414" w:hanging="705"/>
      </w:pPr>
      <w:rPr>
        <w:rFonts w:hint="default" w:ascii="Times New Roman" w:hAnsi="Times New Roman" w:cs="Times New Roman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 w:tplc="04D84812">
      <w:start w:val="23"/>
      <w:numFmt w:val="decimal"/>
      <w:lvlText w:val="%1"/>
      <w:lvlJc w:val="left"/>
      <w:pPr>
        <w:ind w:left="720" w:hanging="360"/>
      </w:pPr>
      <w:rPr>
        <w:rFonts w:hint="default" w:eastAsiaTheme="minorHAnsi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495" w:hanging="360"/>
      </w:pPr>
      <w:rPr>
        <w:rFonts w:hint="default" w:ascii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multiLevelType w:val="hybridMultilevel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multiLevelType w:val="hybridMultilevel"/>
    <w:lvl w:ilvl="0" w:tplc="C77C6362">
      <w:start w:val="26"/>
      <w:numFmt w:val="decimal"/>
      <w:lvlText w:val="%1."/>
      <w:lvlJc w:val="left"/>
      <w:pPr>
        <w:ind w:left="2487" w:hanging="360"/>
      </w:pPr>
      <w:rPr>
        <w:rFonts w:hint="default" w:eastAsia="Calibri"/>
      </w:rPr>
    </w:lvl>
    <w:lvl w:ilvl="1" w:tentative="1" w:tplc="04190019">
      <w:start w:val="1"/>
      <w:numFmt w:val="lowerLetter"/>
      <w:lvlText w:val="%2."/>
      <w:lvlJc w:val="left"/>
      <w:pPr>
        <w:ind w:left="306" w:hanging="360"/>
      </w:pPr>
    </w:lvl>
    <w:lvl w:ilvl="2" w:tentative="1" w:tplc="0419001B">
      <w:start w:val="1"/>
      <w:numFmt w:val="lowerRoman"/>
      <w:lvlText w:val="%3."/>
      <w:lvlJc w:val="right"/>
      <w:pPr>
        <w:ind w:left="1026" w:hanging="180"/>
      </w:pPr>
    </w:lvl>
    <w:lvl w:ilvl="3" w:tentative="1" w:tplc="0419000F">
      <w:start w:val="1"/>
      <w:numFmt w:val="decimal"/>
      <w:lvlText w:val="%4."/>
      <w:lvlJc w:val="left"/>
      <w:pPr>
        <w:ind w:left="1746" w:hanging="360"/>
      </w:pPr>
    </w:lvl>
    <w:lvl w:ilvl="4" w:tentative="1" w:tplc="04190019">
      <w:start w:val="1"/>
      <w:numFmt w:val="lowerLetter"/>
      <w:lvlText w:val="%5."/>
      <w:lvlJc w:val="left"/>
      <w:pPr>
        <w:ind w:left="2466" w:hanging="360"/>
      </w:pPr>
    </w:lvl>
    <w:lvl w:ilvl="5" w:tentative="1" w:tplc="0419001B">
      <w:start w:val="1"/>
      <w:numFmt w:val="lowerRoman"/>
      <w:lvlText w:val="%6."/>
      <w:lvlJc w:val="right"/>
      <w:pPr>
        <w:ind w:left="3186" w:hanging="180"/>
      </w:pPr>
    </w:lvl>
    <w:lvl w:ilvl="6" w:tentative="1" w:tplc="0419000F">
      <w:start w:val="1"/>
      <w:numFmt w:val="decimal"/>
      <w:lvlText w:val="%7."/>
      <w:lvlJc w:val="left"/>
      <w:pPr>
        <w:ind w:left="3906" w:hanging="360"/>
      </w:pPr>
    </w:lvl>
    <w:lvl w:ilvl="7" w:tentative="1" w:tplc="04190019">
      <w:start w:val="1"/>
      <w:numFmt w:val="lowerLetter"/>
      <w:lvlText w:val="%8."/>
      <w:lvlJc w:val="left"/>
      <w:pPr>
        <w:ind w:left="4626" w:hanging="360"/>
      </w:pPr>
    </w:lvl>
    <w:lvl w:ilvl="8" w:tentative="1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4330" w:hanging="360"/>
      </w:pPr>
      <w:rPr>
        <w:rFonts w:hint="default" w:ascii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 w:tplc="7630A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 w:tplc="3724E4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 w:tplc="10C6FF6C">
      <w:start w:val="1"/>
      <w:numFmt w:val="decimal"/>
      <w:lvlText w:val="%1)"/>
      <w:lvlJc w:val="left"/>
      <w:pPr>
        <w:ind w:left="1069" w:hanging="360"/>
      </w:pPr>
      <w:rPr>
        <w:rFonts w:hint="default" w:eastAsiaTheme="minorHAnsi"/>
        <w:color w:val="auto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 w:tplc="9D5E863A">
      <w:start w:val="28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5"/>
  </w:num>
  <w:num w:numId="5">
    <w:abstractNumId w:val="9"/>
  </w:num>
  <w:num w:numId="6">
    <w:abstractNumId w:val="14"/>
  </w:num>
  <w:num w:numId="7">
    <w:abstractNumId w:val="0"/>
  </w:num>
  <w:num w:numId="8">
    <w:abstractNumId w:val="17"/>
  </w:num>
  <w:num w:numId="9">
    <w:abstractNumId w:val="29"/>
  </w:num>
  <w:num w:numId="10">
    <w:abstractNumId w:val="19"/>
  </w:num>
  <w:num w:numId="11">
    <w:abstractNumId w:val="2"/>
  </w:num>
  <w:num w:numId="12">
    <w:abstractNumId w:val="4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28"/>
  </w:num>
  <w:num w:numId="21">
    <w:abstractNumId w:val="31"/>
  </w:num>
  <w:num w:numId="22">
    <w:abstractNumId w:val="3"/>
  </w:num>
  <w:num w:numId="23">
    <w:abstractNumId w:val="5"/>
  </w:num>
  <w:num w:numId="24">
    <w:abstractNumId w:val="16"/>
  </w:num>
  <w:num w:numId="25">
    <w:abstractNumId w:val="30"/>
  </w:num>
  <w:num w:numId="26">
    <w:abstractNumId w:val="7"/>
  </w:num>
  <w:num w:numId="27">
    <w:abstractNumId w:val="12"/>
  </w:num>
  <w:num w:numId="28">
    <w:abstractNumId w:val="24"/>
  </w:num>
  <w:num w:numId="29">
    <w:abstractNumId w:val="32"/>
  </w:num>
  <w:num w:numId="30">
    <w:abstractNumId w:val="22"/>
  </w:num>
  <w:num w:numId="31">
    <w:abstractNumId w:val="25"/>
  </w:num>
  <w:num w:numId="32">
    <w:abstractNumId w:val="1"/>
  </w:num>
  <w:num w:numId="33">
    <w:abstractNumId w:val="2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1" w:customStyle="1">
    <w:name w:val="Абзац списка1"/>
    <w:basedOn w:val="a"/>
    <w:uiPriority w:val="34"/>
    <w:qFormat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styleId="2" w:customStyle="1">
    <w:name w:val="Без интервала2"/>
    <w:basedOn w:val="a"/>
    <w:uiPriority w:val="1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pPr>
      <w:spacing w:after="160"/>
      <w:ind w:left="720" w:right="0"/>
      <w:contextualSpacing/>
    </w:pPr>
  </w:style>
  <w:style w:type="paragraph" w:styleId="a4">
    <w:name w:val="No Spacing"/>
    <w:uiPriority w:val="1"/>
    <w:qFormat/>
    <w:pPr>
      <w:spacing w:line="240" w:lineRule="auto"/>
      <w:ind w:left="0" w:right="0"/>
    </w:pPr>
    <w:rPr>
      <w:rFonts w:eastAsiaTheme="minorEastAsia"/>
      <w:lang w:eastAsia="ru-RU"/>
    </w:rPr>
  </w:style>
  <w:style w:type="paragraph" w:styleId="FORMATTEXT" w:customStyle="1">
    <w:name w:val=".FORMATTEXT"/>
    <w:uiPriority w:val="99"/>
    <w:qFormat/>
    <w:pPr>
      <w:widowControl w:val="off"/>
      <w:spacing w:line="240" w:lineRule="auto"/>
      <w:ind w:left="0" w:right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pPr>
      <w:spacing w:line="240" w:lineRule="auto"/>
      <w:ind w:left="0" w:right="0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 w:customStyle="1">
    <w:name w:val="Абзац списка2"/>
    <w:basedOn w:val="a"/>
    <w:uiPriority w:val="34"/>
    <w:qFormat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paragraph" w:styleId="ConsPlusTitle" w:customStyle="1">
    <w:name w:val="ConsPlusTitle"/>
    <w:qFormat/>
    <w:pPr>
      <w:widowControl w:val="off"/>
      <w:spacing w:line="240" w:lineRule="auto"/>
      <w:ind w:left="0" w:right="0"/>
    </w:pPr>
    <w:rPr>
      <w:rFonts w:ascii="Arial" w:hAnsi="Arial" w:cs="Arial" w:eastAsiaTheme="minorEastAsia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pPr>
      <w:spacing w:line="240" w:lineRule="auto"/>
    </w:pPr>
    <w:rPr>
      <w:sz w:val="20"/>
      <w:szCs w:val="20"/>
    </w:rPr>
  </w:style>
  <w:style w:type="character" w:styleId="aa" w:customStyle="1">
    <w:name w:val="Текст примечания Знак"/>
    <w:basedOn w:val="a0"/>
    <w:link w:val="a9"/>
    <w:uiPriority w:val="9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styleId="ac" w:customStyle="1">
    <w:name w:val="Тема примечания Знак"/>
    <w:basedOn w:val="aa"/>
    <w:link w:val="ab"/>
    <w:uiPriority w:val="99"/>
    <w:semiHidden/>
    <w:rPr>
      <w:b/>
      <w:bCs/>
      <w:sz w:val="20"/>
      <w:szCs w:val="20"/>
    </w:rPr>
  </w:style>
  <w:style w:type="paragraph" w:styleId="formattext0" w:customStyle="1">
    <w:name w:val="formattext"/>
    <w:basedOn w:val="a"/>
    <w:pPr>
      <w:spacing w:before="100" w:beforeAutospacing="1" w:after="100" w:afterAutospacing="1" w:line="240" w:lineRule="auto"/>
      <w:ind w:left="0" w:right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pPr>
      <w:widowControl w:val="off"/>
      <w:spacing w:line="240" w:lineRule="auto"/>
      <w:ind w:left="0" w:right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styleId="ae" w:customStyle="1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styleId="af0" w:customStyle="1">
    <w:name w:val="Нижний колонтитул Знак"/>
    <w:basedOn w:val="a0"/>
    <w:link w:val="af"/>
    <w:uiPriority w:val="99"/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information" w:customStyle="1">
    <w:name w:val="information"/>
    <w:basedOn w:val="a0"/>
  </w:style>
  <w:style w:type="character" w:styleId="b-share-btnwrap" w:customStyle="1">
    <w:name w:val="b-share-btn__wrap"/>
    <w:basedOn w:val="a0"/>
  </w:style>
  <w:style w:type="character" w:styleId="b-share-counter" w:customStyle="1">
    <w:name w:val="b-share-counter"/>
    <w:basedOn w:val="a0"/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Strong"/>
    <w:basedOn w:val="a0"/>
    <w:uiPriority w:val="22"/>
    <w:qFormat/>
    <w:rPr>
      <w:b/>
      <w:bCs/>
    </w:rPr>
  </w:style>
  <w:style w:type="character" w:styleId="pt-a0" w:customStyle="1">
    <w:name w:val="pt-a0"/>
    <w:basedOn w:val="a0"/>
  </w:style>
  <w:style w:type="paragraph" w:styleId="pt-000020" w:customStyle="1">
    <w:name w:val="pt-000020"/>
    <w:basedOn w:val="a"/>
    <w:pPr>
      <w:spacing w:before="100" w:beforeAutospacing="1" w:after="100" w:afterAutospacing="1" w:line="240" w:lineRule="auto"/>
      <w:ind w:left="0" w:right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pPr>
      <w:spacing w:after="140" w:line="276" w:lineRule="auto"/>
      <w:ind w:left="0" w:right="0"/>
    </w:pPr>
    <w:rPr>
      <w:rFonts w:ascii="LiberationSerif" w:hAnsi="LiberationSerif" w:eastAsia="LiberationSerif" w:cs="LiberationSerif"/>
      <w:color w:val="000000"/>
      <w:sz w:val="24"/>
      <w:szCs w:val="20"/>
      <w:lang w:eastAsia="ru-RU"/>
    </w:rPr>
  </w:style>
  <w:style w:type="character" w:styleId="af5" w:customStyle="1">
    <w:name w:val="Основной текст Знак"/>
    <w:basedOn w:val="a0"/>
    <w:link w:val="af4"/>
    <w:rPr>
      <w:rFonts w:ascii="LiberationSerif" w:hAnsi="LiberationSerif" w:eastAsia="LiberationSerif" w:cs="LiberationSerif"/>
      <w:color w:val="000000"/>
      <w:sz w:val="24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LAW&amp;n=495001&amp;dst=100572" TargetMode="External"/><Relationship Id="rId12" Type="http://schemas.openxmlformats.org/officeDocument/2006/relationships/hyperlink" Target="https://login.consultant.ru/link/?req=doc&amp;base=LAW&amp;n=495001&amp;dst=100572" TargetMode="External"/><Relationship Id="rId13" Type="http://schemas.openxmlformats.org/officeDocument/2006/relationships/hyperlink" Target="https://login.consultant.ru/link/?req=doc&amp;base=PRJ&amp;n=255110&amp;dst=100256&amp;field=134&amp;date=25.12.2024" TargetMode="External"/><Relationship Id="rId14" Type="http://schemas.openxmlformats.org/officeDocument/2006/relationships/hyperlink" Target="https://login.consultant.ru/link/?req=doc&amp;base=LAW&amp;n=494926&amp;dst=355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281F62-8127-4C6E-808B-335505BE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6955</Characters>
  <CharactersWithSpaces>8159</CharactersWithSpaces>
  <Company>АГНОиПНО</Company>
  <DocSecurity>0</DocSecurity>
  <HyperlinksChanged>false</HyperlinksChanged>
  <Lines>57</Lines>
  <LinksUpToDate>false</LinksUpToDate>
  <Pages>4</Pages>
  <Paragraphs>16</Paragraphs>
  <ScaleCrop>false</ScaleCrop>
  <SharedDoc>false</SharedDoc>
  <Template>Normal</Template>
  <TotalTime>942</TotalTime>
  <Words>1220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 Владимир Васильевич</dc:creator>
  <cp:lastModifiedBy>Белокопытова Наталья Михайловна</cp:lastModifiedBy>
  <cp:revision>48</cp:revision>
  <cp:lastPrinted>2025-01-23T08:27:00Z</cp:lastPrinted>
  <dcterms:created xsi:type="dcterms:W3CDTF">2022-01-13T07:19:00Z</dcterms:created>
  <dcterms:modified xsi:type="dcterms:W3CDTF">2025-01-23T08:36:00Z</dcterms:modified>
</cp:coreProperties>
</file>