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077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1077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постановлению Губернатора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1077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1077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1077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1077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1077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«УТВЕРЖДЕН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1077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постановлением Губернатора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1077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1077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20.12.2019 № 287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План мероприятий («дорожная карта»)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по содействию развитию конкуренции в Новосибирской области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0"/>
        <w:jc w:val="center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I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val="en-US"/>
        </w:rPr>
        <w:t xml:space="preserve"> </w:t>
      </w:r>
      <w:r>
        <w:rPr>
          <w:sz w:val="28"/>
          <w:szCs w:val="28"/>
          <w:highlight w:val="white"/>
        </w:rPr>
        <w:t xml:space="preserve">Общие положения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 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Согласно Указу Президента Российской Федерации от 21.12.2017 № 618 «Об основных направлениях государственной политики по развитию конкуренции» активное содействие развитию конкуренции в Российской Федерации является приоритетным напр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субъектов Российской Федерации, 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также органов местного самоуправления.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Правительством Российской Федерации в связи с завершением срока реализации Национального плана развития конкуренции в Российской Федерации на 2018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2020 годы, в целях дальнейшей реализации политики по развитию конкуренции 2 сентября 2021 г.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принято распоряжение № 2424-р об утверждении Национального плана («дорожной карты») развития конкуренции в Российской Федерации на 2021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современном этапе, учитывая динамику това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рных рынков, особенности внутренней и внешней политики Российской Федерации, а также политики Новосибирской области, необходим единый план мероприятий («дорожная карта») по содействию развитию конкуренции в Новосибирской области (далее – «дорожная карта»).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 Целями «дорожной карты» являются: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удовлетворенности потребителей за счет расширения ассортимента товаров, работ, услуг, повышения их качества и снижения цен;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экономической эффективности и конкурентоспособности хозяйствующих субъектов Новосибирской области,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том числе за счет обеспечения равного доступа к товарам и услугам субъектов естественных монополий, государственным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муниципальным услугам, необходимым для ведения предпринимательской деятельности в Новосибирской области, стимулирования инновационной активности хозяйствующих субъектов региона, повышения доли наукоемких товаров и услуг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структуре производства, развития рынков высокотехнологичной продукции;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стабильный рост и развитие многоукладной экономики, развитие технологий, снижение издержек в масштабе национальной экономики, снижение социальной напряженности в обществе, обеспечение национальной безопасности.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 Предметом «дорожной карты» являются мероприятия по развитию конкуренции на товарных рынках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 Числовые значения ключевых показателей и мероприятия по развитию конкуренции на товарных рынках Новосибирской области в «дорожной карте» определены с учетом необходимости обязательного достижения 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 Наряду с мероприятиями, сформированными в целях достижения ключевых показателей развития конкуренции (далее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ключевые показатели), в «дорожной карте» предусмотрены также системные мероприятия, которые направлены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конкуренции в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 Перечень программных документов Новосибирской области, оказывающих влияние на состояние конкуренции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территории Новосибирской области, сл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ужит неотъемлемым дополнением 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«дорожной карте»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указан в приложении 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0"/>
        <w:jc w:val="center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00"/>
        <w:jc w:val="center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II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val="en-US"/>
        </w:rPr>
        <w:t xml:space="preserve"> </w:t>
      </w:r>
      <w:r>
        <w:rPr>
          <w:sz w:val="28"/>
          <w:szCs w:val="28"/>
          <w:highlight w:val="white"/>
        </w:rPr>
        <w:t xml:space="preserve">Мероприятия по содействию развитию конкуренции на товарных рынках 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1. Рынок услуг дошкольного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состоянию на 01.01.2023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Новосибирской области образовательные программы дошкольного образования, присмотр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уход за детьми реализуют 1011 образовательных организаций (в 2019 году – 1050 организаций): детские сады, структурные подразделения при школах, из них число самостоятельных дошкольных образовательных организаций составляет 597 единиц (в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2019 году – 628 единиц), число воспитанников составляет 137,1 тыс. человек (в 2019 году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–147,6 тыс. человек).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Доступность дошкольного образования для детей в возрасте от 3 до 7 лет составляет 100%, доступность дошкольного образования для детей от 2 месяцев до 3 лет – 86% (в 2018 году – 48%).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Численность воспитанников в дошкольных образовательных организациях уменьшается. За последние четыре года численность воспитанников уменьшилась на 10,5 тыс. детей (на 7,1%).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2022 году количество негосударственных образовательных организаций, реализующих программы дошкольного образования, составляет 21 (в 2019 году – 23 организации), из них 14 – дошкольные образовательные организации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 – общеобразовательные организации, в которых открыты дошкольные группы. Число воспитанников, посещающих негосударственные образовательные организации, составляет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298 человек (в 2019 году –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632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человека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Доступность дошкольного образования для детей в возрасте от 3 до 7 лет составляет 97,7%, доступность дошкольного образования для детей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2 месяцев до 3 лет – 83,3%.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Одним из путей повышения уровня доступности дошкольного образования является поддержка и развитие негосударственного сектора дошкольного образования.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Возможные формы поддержки некоммерческих организаций органами государственной власти и органами местного самоуправления предусмотрены Федеральным законом 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12.01.1996 № 7-ФЗ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некоммерческих организациях».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Финансирование частных образовательных организаций осуществляется посредством предоставления субсидий из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областного бюджета Новосибирской области на возмещение затрат, включающих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эти цели из бюджета Новосибирской области в 2018 году было направлено 103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670,50 тыс. рублей,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2019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112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240,90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 в 2021 году – 98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690,20, тыс. рублей, в 2022 году – 108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396,0 тыс. рублей.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19.03.2019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105-п «О Стратегии социально-экономического развития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период до 2030 года» (далее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Стратегия), в рамках задачи по обеспечению доступности дошкольного образования на основе комплексного развития сети дошкольных образовательных организаций, в том числе за счет развития негосударст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венного сектора, предусмотрено: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уровня доступности дошкольного образования, в том числе за сче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 создания дополнительных мест;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вариативных, альтернативных форм дошкольного образования, поддержка негосударственного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ектора дошкольного образования;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реализация федерального государственного образовательного стандарта дошкольного образования как средства повышения качества дошкольного образования;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создание равных возможностей в системе дошкольного образования для разностороннего развития личности ребенка;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семье.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ходе мониторинга состояния и развития конкурентной среды на рынках товаров, работ и услуг Новосибирской области 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2018 год (далее – мониторинг конкурентной среды) 40% респондентов указали на высокую конкуренцию,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отсутствие конкуренции – 2,5% опрошенных. Уровень успешности развития бизнеса составил 35%. Доля участников опроса, оценивших общие условия вед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ения предпринимательской деятельности как хорошие и удовлетворительные, составила 80%. Доля тех, кто считает сложным начинание с нуля нового бизнеса, составила 75%. 10% респондентов отметили, что на данном рынке есть непреодолимые административные барьеры.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Проблема: недостаточное количество образовательных организаций, реализующих про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граммы дошкольного образования.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Задача: содействие развитию конкуренции на рынке услуг дошкольного образован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ия в негосударственном секторе.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создание условий для развития конкуренции на рынке услуг дошкольного образования в негосударственном секторе.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/>
          <w:sz w:val="20"/>
          <w:highlight w:val="white"/>
        </w:rPr>
      </w:r>
      <w:r>
        <w:rPr>
          <w:rFonts w:ascii="Times New Roman" w:hAnsi="Times New Roman" w:cs="Times New Roman"/>
          <w:sz w:val="20"/>
          <w:highlight w:val="white"/>
        </w:rPr>
      </w:r>
      <w:r>
        <w:rPr>
          <w:rFonts w:ascii="Times New Roman" w:hAnsi="Times New Roman" w:cs="Times New Roman"/>
          <w:sz w:val="20"/>
          <w:highlight w:val="white"/>
        </w:rPr>
      </w:r>
    </w:p>
    <w:tbl>
      <w:tblPr>
        <w:tblW w:w="14854" w:type="dxa"/>
        <w:jc w:val="center"/>
        <w:tblInd w:w="8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524"/>
        <w:gridCol w:w="1280"/>
        <w:gridCol w:w="1116"/>
        <w:gridCol w:w="1116"/>
        <w:gridCol w:w="1116"/>
        <w:gridCol w:w="1116"/>
        <w:gridCol w:w="1116"/>
        <w:gridCol w:w="1116"/>
        <w:gridCol w:w="1120"/>
        <w:gridCol w:w="1116"/>
        <w:gridCol w:w="1116"/>
      </w:tblGrid>
      <w:tr>
        <w:tblPrEx/>
        <w:trPr>
          <w:jc w:val="center"/>
          <w:trHeight w:val="20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1.2. Ключевые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35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3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обу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чающихся дошкольного возраста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частных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образовательных организациях, у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индивидуальных предпринимателей, реализующих основные общеобразовательные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образовательные программы дошкольного образования, 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общей численности обу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чающихся дошкольного возраста в образовательных организациях, у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индивидуальных предпринимателей, реализующих основные общеобразовательные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1,85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1,62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1,6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1,6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1,6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1,6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1,6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1,6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35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частных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ind w:left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996" w:type="dxa"/>
        <w:jc w:val="center"/>
        <w:tblInd w:w="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38"/>
        <w:gridCol w:w="5292"/>
        <w:gridCol w:w="3606"/>
        <w:gridCol w:w="2730"/>
        <w:gridCol w:w="2730"/>
      </w:tblGrid>
      <w:tr>
        <w:tblPrEx/>
        <w:trPr>
          <w:jc w:val="center"/>
          <w:trHeight w:val="20"/>
        </w:trPr>
        <w:tc>
          <w:tcPr>
            <w:gridSpan w:val="5"/>
            <w:tcMar>
              <w:top w:w="57" w:type="dxa"/>
              <w:bottom w:w="57" w:type="dxa"/>
            </w:tcMar>
            <w:tcW w:w="1499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63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529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6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73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73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63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5292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Информирование организаций, реализующих программы дошколь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ного образования, и родителей 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мерах государственной поддержки в сфере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606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уровня информированности организаций и населения.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сети негосударственных образовательных организаций, реализующих 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73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73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63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5292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субсидий негосударственным образовательным организациям на реализацию основных общеобразовательных программ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606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создание условий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привлечения негосударственных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7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73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tcMar>
              <w:top w:w="57" w:type="dxa"/>
              <w:bottom w:w="57" w:type="dxa"/>
            </w:tcMar>
            <w:tcW w:w="63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5292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Ведение реестра негосударственных организаций, реализующих программы дошкольного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получателей государственной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606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прозрачности предоставления государственной поддержки организациям, реализующим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7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73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63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1.3.4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5292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Предоставление грантов некоммерческим организациям и индивидуальным предпринимателям, расположенным на территории Новосибирской области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реализующим образовательные программы дошкольного образования, на создание дополнительных дошкольных мест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3606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создание дополнительных дошкольных мест путем организации групп.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Создание условий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осуществления образовательной деятельности по образовательной прог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рамме дошкольного образования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соответствии с федеральным государственным образовательным стандартом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27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273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2. Рынок услуг общего образования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2.1. Исходная фактическая информация в отношении си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2022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учебном году в Новосибирской области образовательные программы начального общего, основного общего, среднего общего образования реализуют 963 образоват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ельные организации, в том числе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28 организаций осуществляют образовательную деятельность по адаптированным основным общеобразовательным программам.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Численность детей увеличилась на 10,4 тыс. человек и составляет 363,8 тыс. человек (в 2019 году – 336,4 тыс. человек). 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последние четыре года численность обучающихся выросла на 27,4 тыс. человек (7,5%).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каждым годом увеличивается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количество негосударственных общеобразовательных организаций, в 2022 году их численность составила 19 единиц (в 2021 году – 18 единиц, в 2020 году – 16 единиц, в 2019 году – 17 единиц). Число обучающихся в негосударственных образовательных организациях –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308 человек (в 2021 году –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066 человек, в 2020 году –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916 человек,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2019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году –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902 человека).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Спрос на услуги в частных организациях в сфере общего образования ориентирован на получение услуг, обеспечивающих индивидуальный подход в обучении и учитывающих индивидуальные потребности ребенка.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Финансирование частных образовательных организаций осуществляется посредством предоставления субсидий из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областного бюджета Новосибирской области на возмещение затрат, включающих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коммунальных услуг). На эти цели из бюджета Новосибирской области в 2022 году было направлено 125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796,3 тыс. рублей (в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году – 104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573,1 тыс. рублей, в 2020 году – 100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551,1 тыс. рублей).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системе образования особая роль принадлежит общему образованию. Это фундамент дальнейшего профессионального образования.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 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29.12.2012 № 273-ФЗ «Об образовании в Российской Федерации» начальное общее образование, основное общее образование, среднее общее образование являются обязательными уровнями образования. При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выборе общеобразовательной организации родители отдают предпочтение муниципальным (областным) общеобразовательным организациям.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 Развитие частных школ осуществляется за счет разных источников финансирования. Если для государственных (муниципальных) образовательных организаций определяющее значение имеют средства бюджетов всех уровней, то главным источником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финансирования в негосударственных школах являются средства населения, их доля превышает сумму всех других источников. Соответственно, развитие негосударственного сектора напрямую зависит от готовности населения к финансовым вложениям в общее образование.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Учитывая вышеуказанные проблемы, ключевой показатель, установленный стандартом развития конкуренции в субъектах Российской Федерации, утвержденным распоряжением Правительства Российской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Федерации от 17.04.2019 № 768-р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(1%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обучающихся в частных образовательных организациях)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 наличии большого количества обучающихся в Новосибирской области достигнуть невозможно. При этом в Новосибирской области обеспечена возможность выбора получения общего образования в частных организациях.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Задача: содействие развитию конкуренции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рынке услуг общего образования.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создание условий для развития конкуренции на рынке услуг общего образования.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/>
          <w:sz w:val="20"/>
          <w:highlight w:val="white"/>
        </w:rPr>
      </w:r>
      <w:r>
        <w:rPr>
          <w:rFonts w:ascii="Times New Roman" w:hAnsi="Times New Roman" w:cs="Times New Roman"/>
          <w:sz w:val="20"/>
          <w:highlight w:val="white"/>
        </w:rPr>
      </w:r>
      <w:r>
        <w:rPr>
          <w:rFonts w:ascii="Times New Roman" w:hAnsi="Times New Roman" w:cs="Times New Roman"/>
          <w:sz w:val="20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21"/>
        <w:gridCol w:w="1280"/>
        <w:gridCol w:w="1194"/>
        <w:gridCol w:w="1194"/>
        <w:gridCol w:w="1194"/>
        <w:gridCol w:w="1196"/>
        <w:gridCol w:w="1090"/>
        <w:gridCol w:w="1087"/>
        <w:gridCol w:w="1087"/>
        <w:gridCol w:w="1085"/>
        <w:gridCol w:w="1085"/>
      </w:tblGrid>
      <w:tr>
        <w:tblPrEx/>
        <w:trPr>
          <w:jc w:val="center"/>
          <w:trHeight w:val="20"/>
        </w:trPr>
        <w:tc>
          <w:tcPr>
            <w:gridSpan w:val="11"/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2.2. Ключевые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32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32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обучающихся в частных образовательных организациях, реализующих основные общеобразовательные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образовательные программы начального общего, основного общего,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среднего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общего образования, 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общем числе обучающихся в образовательных организациях, реализующих основные общеобразовательные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образовательные программы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0,52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0,53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0,55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0,55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0,55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0,55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32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частных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5081" w:type="dxa"/>
        <w:jc w:val="center"/>
        <w:tblInd w:w="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"/>
        <w:gridCol w:w="5556"/>
        <w:gridCol w:w="3798"/>
        <w:gridCol w:w="2579"/>
        <w:gridCol w:w="2468"/>
      </w:tblGrid>
      <w:tr>
        <w:tblPrEx/>
        <w:trPr>
          <w:jc w:val="center"/>
          <w:trHeight w:val="17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508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8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55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79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7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6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8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556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Информирование организаций, реализующих программы началь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ного общего, основного общего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среднего общ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его образования, и родителей 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мерах государственной поддержки в сфере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798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информированности организаций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населения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6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8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556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субсидий негосударственным образовательным организациям на реализацию основных общеобразовательных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798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создание условий для привлечения негосударственных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6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8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556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Ведение реестра негосударственных организаций, реализующих программы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– получателей государственной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798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прозрачности предоставления государственной поддержки организациям, реализующим программы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6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3. Рынок услуг среднего профессионального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 состоянию на 01.01.2025 в Новосибирской области осуществляют образовательную деятельность по программам среднего профессионального образования 78 образовательных организаций (по состоянию на 01.01.2024 – 77 образовательных организаций), из них: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9 образовательных организаций, подведомственных исполнительным органам государственной власти Новосибирской области (министерство образования Новосибирской области, министерство здравоохранения Новосибирской области, министерство культуры Новосибирской обл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асти, министерство физической культуры и спорта Новосибирской области);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14 федеральных образовательных организаций, включая образовательные организации высшего образования, реализующие программы подготовки специалистов среднего звена (по состоянию на 01.01.2024 – 12 образовательных организаций);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5 негосударственных (частных) образовательных организаций (по состоянию на 01.01.2024 – 6 образовательных организаций).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 данным ведомственной статистики министерства образования Новосибирской области численность обучающихся по программам среднего профессионального образования в образовательных организациях, находящихся в Новосибирской области, включая образовательные орган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изации высшего образования, реализующие программы подготовки специалистов среднего звена, по состоянию на 01.01.2025 составляет 76,4 тыс. человек (на 01.01.2024 - 73,4 тыс. человек), в том числе: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образовательных организациях, подведомственных областным исполнительным органам Новосибирской области – 51,8 тыс. человек;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федеральных образовательных организациях, включая образовательные организации высшего образования, реализующие программы подготовки специалистов среднего звена - 12,6 тыс. человек;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негосударственных (частных) образовательных организациях – 12,0 тыс. человек.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оля обучающихся в частных образовательных организациях по состоянию на 01.01.2025 составила 23,1% (по состоянию на 01.01.2024 – 18,1%) от общей численности обучающихся в образовательных организациях, расположенных на территории Новосибирской области, реали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зующих образовательные программы среднего профессионального образования (без учета численности обучающихся в федеральных государственных образовательных организациях, реализующих программы среднего профессионального образования).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Новосибирской области создана система среднего профессионального образования, обеспечивающая сферу производства и услуг квалифицированными специалистами и рабочими кадрами. Структура и содержание образования регулярно обновляется в соответствии с потребно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тями рынка труда и требованиями федеральных государственных образовательных стандартов. Учебные программы формируются с участием работодателей и выстраиваются по модульному принципу, то есть осуществляется подбор необходимых квалификаций (компетенций) по з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аявке заказчика. Новые профессии и специальности ежегодно включаются в перечень реализуемых программ подготовки (за период с 2013 по 2025 годы введены более 100 новых профессий и специальностей, подготовка по которым ранее не осуществлялась).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ктуальной для региона остается задача функционирования в Новосибирской области конкурентоспособной системы среднего профессионального образования, обеспечивающей подготовку высококвалифицированных специалистов и рабочих кадров в соответствии с современными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стандартами и передовыми технологиями.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ктуальной для региона остается задача создания в Новосибирской области конкурентоспособной системы среднего профессионального образования, обеспечивающей подготовку высококвалифицированных специалистов и рабочих кадров в соответствии с современными стандар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тами и передовыми технологиями.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2024 году в Новосибирской области прошел Региональный этап Чемпионата «Профессионалы» и Чемпионата высоких технологий в Новосибирской области на 40 площадках по 209 компетенциям (144 – основная категория, 60 компетенций – юниоры), в котором приняли участи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е 1398 конкурсантов из 180 образовательных организаций региона и 1969 экспертов.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мая по август 2024 года в Новосибирской области проходил итоговый (межрегиональный) этап Чемпионата профессионального мастерства «Профессионалы» по 19 компетенциям. Новосибирская область приняла около 500 участников и экспертов из 73 регионов страны на ба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зе 11 образовательных организаций региона.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 результатам итогового этапа команда Новосибирской области завоевала 54 медали: 13 золотых, 26 серебряных, 15 бронзовых.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2024 году Новосибирская область заняла 1 место по количеству привлеченных индустриальных экспертов от предприятий партнеров среди всех субъектов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2024 году по результатам итогового (межрегионального) этапа команда Новосибирской области завоевала 54 медали: 13 золотых, 26 серебряных, 15 бронзовых (в 2023 году 40 медалей: 8 золотых, 14 серебряных, 18 бронзовых).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 всероссийском финале Чемпионата по профессиональному мастерству «Профессионалы» в ноябре 2024 года в Санкт-Петербурге команда Новосибирской области завоевала 9 медалей: 2 золотых, 2 серебряных, 5 бронзовых (в 2023 году 7 медалей: 1 золотую, 4 серебряных,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2 бронзовых).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 результатам медального зачета Новосибирская область заняла 5 место среди 89 регионов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 2017 года в профессиональных образовательных организациях Новосибирской области проводится государственная итоговая аттестация в форме демонстрационного экзамена.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2024 году процедуру демонстрационного экзамена прошли 6321 обучающийся, из которых 2925 человек сдали профильный уровень и 3391 человек – базовый уровень. Процент участников, прошедших процедуру демонстрационного экзамена профильного уровня, составил 46%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(плановое значение показателя по итогам 2024 года – 25%).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сновные проблемы системы среднего профессионального образования Новосибирской области: изношенность зданий и необходимость модернизации материально-технической базы ряда образовательных организаций, в том числе расположенных в сельской местности, низкая ак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ивность (заинтересованность) работодателей при реализации проектов по подготовке высококвалифицированных кадров. Данные проблемы обозначены в Стратегии социально-экономического развития Новосибирской области на период до 2030 года, утвержденной постановлен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ием Правительства Новосибирской области от 19.05.2019 № 105-п (далее – Стратегия).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Стратегии в рамках задачи по созданию в Новосибирской области конкурентоспособной системы среднего профессионального образования, обеспечивающей подготовку высококвалифицированных специалистов и рабочих кадров в соответствии с современными стандартами и п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ередовыми технологиями, предусмотрено: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модернизация профессионального образования и подготовка кадров в соответствии с мировыми стандартами и передовыми технологиями по наиболее востребованным, новым и перспективным для региона профессиям, и специальностям;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формирование кадрового потенциала профессиональных образовательных организаций для обучения студентов и оценки их квалификаций;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формирование условий для создания опережающей адаптивной подготовки кадров;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обеспечение равных возможностей получения среднего профессионального образования в профессиональных образовательных организациях Новосибирской области;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Цель: создание условий для развития конкуренции на рынке среднего профессионального образования.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sz w:val="20"/>
          <w:szCs w:val="20"/>
          <w:highlight w:val="white"/>
        </w:rPr>
      </w:pPr>
      <w:r>
        <w:rPr>
          <w:rFonts w:ascii="Times New Roman" w:hAnsi="Times New Roman" w:eastAsia="Calibri" w:cs="Times New Roman"/>
          <w:sz w:val="20"/>
          <w:szCs w:val="20"/>
          <w:highlight w:val="white"/>
        </w:rPr>
      </w:r>
      <w:r>
        <w:rPr>
          <w:rFonts w:ascii="Times New Roman" w:hAnsi="Times New Roman" w:eastAsia="Calibri" w:cs="Times New Roman"/>
          <w:sz w:val="20"/>
          <w:szCs w:val="20"/>
          <w:highlight w:val="white"/>
        </w:rPr>
      </w:r>
      <w:r>
        <w:rPr>
          <w:rFonts w:ascii="Times New Roman" w:hAnsi="Times New Roman" w:eastAsia="Calibri" w:cs="Times New Roman"/>
          <w:sz w:val="20"/>
          <w:szCs w:val="20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61"/>
        <w:gridCol w:w="1281"/>
        <w:gridCol w:w="1198"/>
        <w:gridCol w:w="1198"/>
        <w:gridCol w:w="1198"/>
        <w:gridCol w:w="1207"/>
        <w:gridCol w:w="1077"/>
        <w:gridCol w:w="1075"/>
        <w:gridCol w:w="1072"/>
        <w:gridCol w:w="1072"/>
        <w:gridCol w:w="1072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 Ключевые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2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обучающихся в частных образовательных организациях, реализующих основные профессиональные 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– образовательные программы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23,1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23,1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23,1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26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частных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996" w:type="dxa"/>
        <w:jc w:val="center"/>
        <w:tblInd w:w="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80"/>
        <w:gridCol w:w="5336"/>
        <w:gridCol w:w="3565"/>
        <w:gridCol w:w="2657"/>
        <w:gridCol w:w="2657"/>
      </w:tblGrid>
      <w:tr>
        <w:tblPrEx/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99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8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33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6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8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336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и проведение региональных конкурсов профессионального мастерства «Молодые профессионалы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Ворлдскиллс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Россия)» и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Абилимпикс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», в том числе с участием студентов частных профессиональных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65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численность студентов частных образовательных организаций, реализующих программы среднего профессионального образования, участвующих в  региональных и национальных этапах конкурса профессионального мастерства «Молодые профес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сионалы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Ворлдскиллс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Россия)»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Абилимпикс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 менее 30 человек ежегодно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8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336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Внедрение новой формы государственной итоговой аттестации по программам среднего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демонстрационного экзамена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стандартам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рлдскиллс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Россия, в том числе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участием студентов частных профессиональных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65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численность выпускников частных образовательных организаций, реализующих программы среднего профессионального образования, прошедших государственную итоговую аттестацию в форме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демонстрационного экзамена,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менее 10 человек ежегодно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8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336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Оказание информационной и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поддержки образовательным организациям, реализующим программы среднего профессионального образования, включая частные профессиональные образовательные организации, в целях развития инклюзивного среднего профессионального образования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65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методических семинаров 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вебинаров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проведенных Базовой профессиональной образовательной организацией, содействующей развитию региональной системы инклюзивного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профессионального образования инвалидов,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 менее 10 семинаров 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вебинаров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8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3.3.4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336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монитор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инга численности обучающихся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программам среднего профессионального образования, программам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ного обучения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ым образовательным программам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 организациях, расположенных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Новосибирской области (периодичность сбора информации: 1 января, 1 июля, 1 октября)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65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базы данных ведомственной статистики, проведение анализа дина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мики численности обучающихся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программам среднего профессионального образования, программам профессионального обучения и дополнительным 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4. Рынок услуг дополнительного образования детей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Новосибирской области 645 организаций осуществляют образовательную деятельность по дополнительным общеобразовательным программам для детей.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Численность учащихся по направлениям дополнительных общеобразовательных программ составляет 318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664 человека: техническое – 14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347 человек, естественно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научное – 19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813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человек, туристско-краеведческое – 10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643 человека, социально-педагогическое – 63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164 человека, в области искусств – 117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954 человека, в области физической культуры – 92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743 человека.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Новосибирской области доля детей в возрасте от 5 до 18 лет, охваченных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дополнительным образованием, 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2018 году составляла 71,5%, плановое значение на 2019 год составляло 73%.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Количество 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егосударственных образовательных организаций, осуществляющих образовательную деятельность по дополнительным общеобразовательным программам для детей, составляет 70 единиц, 10,9% от общего количества организаций. В 2017 году – 66 единиц, 11% соответственно.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Численность учащихся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негосударственных образовательных организациях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 направлениям дополнительных общеобразовательных программ составляет 10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844 человека: техническое – 751 человек (5,2%), естественно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научное – 779 человек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(3,9%), туристско-краеведческое – 228 человек (2,1%), социально-педагогическое – 6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189 человек (9,8%), в области искусств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– 2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014 человек (1,7%), в области физической культуры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– 883 человека (1%).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Соответственно, доля детей, получающих дополнительное образование в организациях частной формы собственности, составляет 3,4%.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 данным федерального статистического наблюдения № 1-доп «Сведения о дополнительном образовании и спортивной подготовке детей»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в Новосибирской области за 2020 год численность обучающихся по направлениям дополнительных общеобразовательных программ всего соста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вляла 286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358 детей, в том числе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в организациях частной формы собственности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– 11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080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детей (3,8%). Уменьшение охвата детей дополнительным образованием произошло в связи с внедрением персонифицированного учета в системе дополнительного образования.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Одним из факторов обеспечения качества и доступности дополнительного образования детей является поддержка и развитие негосударственного сектора.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ходе мониторинга конкурентной среды 63,3% респондентов указали на высокую конкуренцию, на отсутствие конкуренции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3,3% опрошенных. Уровень успешности развития бизнеса составил 33,3%. Доля участников опроса, оценивших общие условия ведения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предпринимательской деятельности как хорошие и удовлетворительные, составила 76,7%. Доля тех, кто считает сложным начинание с нуля нового бизнеса, составила 70%. 13,3% респондентов отметили, что на данном рынке есть непреодолимые административные барьеры.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высокие требования лицензирования деятельности услуг дополнительного образования детей;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высокая стоимость обучения в частных организациях.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содействие развитию конкуренции на рынке услуг дополнительного образования детей;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расширение потенциала системы дополнительного образования детей.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создание условий для развития конкуренции на рынке услуг дополнительного образования детей.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38"/>
        <w:gridCol w:w="2390"/>
        <w:gridCol w:w="1279"/>
        <w:gridCol w:w="763"/>
        <w:gridCol w:w="441"/>
        <w:gridCol w:w="1240"/>
        <w:gridCol w:w="1240"/>
        <w:gridCol w:w="431"/>
        <w:gridCol w:w="772"/>
        <w:gridCol w:w="1092"/>
        <w:gridCol w:w="713"/>
        <w:gridCol w:w="383"/>
        <w:gridCol w:w="1098"/>
        <w:gridCol w:w="1116"/>
        <w:gridCol w:w="1116"/>
      </w:tblGrid>
      <w:tr>
        <w:tblPrEx/>
        <w:trPr>
          <w:jc w:val="center"/>
          <w:trHeight w:val="57"/>
        </w:trPr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4.2. Ключевые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5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5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услуг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3,8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27"/>
        </w:trPr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4.3. 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содействию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3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43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5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7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71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3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Продолжение работы по внедрению системы персонифицированного финансирования дополнительного образования детей (за исключением 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я дополнительного образования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детских школах искусств)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равного доступа образовательных организаций всех форм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собственности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ых предпринимателей к участию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системе персонифицированного финансирования дополнительного образования детей (за исключением 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я дополнительного образования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детских школах искусств)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7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71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3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43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Утверждение порядка финансирования негосударственных организаций, реализующих дополнительные об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щеобразовательные программы для 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детей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5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издание соответствующего нормативного правового акта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71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3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43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Оказание консультативной помощи негосударственным организациям, реализующим дополнительные общеобразовательные программы для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детей, по вопросам оказания им государственной поддержки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5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повышение уровня информированности организаций и населения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71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3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4.3.4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43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Развитие информационного портала Навигатор дополнительного образования детей Новосибирской области (далее – Навигатор ДОД).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Размещение информации (баннера) о Навигаторе ДОД на сайтах организаций, осуществление образовательной деятельности по дополнительным общеобразовательным программам для детей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5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размещение информации для потребителей о 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возможностях получения дополнительного образования.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Увеличение количества негосударственных образовательных организаций,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осуществляющих образовательную деятельность 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дополнительным общеобразовательным программам дл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я детей, зарегистрировавшихся в 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Навигаторе ДОД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71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министерство образования Новосибирской области, государственное автономное учреждение дополнительного образования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Новосибирской области «Областной центр развития творчества детей и юношества»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3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4.3.5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43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Проведение конференций, семинаров, мастер-классов по повышению к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ачества образовательных услуг с 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участием негосударственных организаций дополнительного образования детей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5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повышение уровня информированности организаций и населения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71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министерство образования Новосибирской области,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государственное автономное учреждение дополнительного образования Новосибирской области «Областной центр развития творчества детей и юношества»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5. Рынок услуг детского отдыха и оздоровления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5.1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 Исходная фактическая информация в отношении си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туации и проблематики на рынке,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реестр организаций отдыха детей и их оздоровления на территории Новосибирской области включены сведения о 79 организациях (на 1 января 2024 года – 73 организации, на 1 января 2023 года – 73 организации, на 1 января 2022 года - 63 организации), в том числе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 двух, расположенных на территории Республики Алтай. Из общего количества организаций отдыха детей и их оздоровления 24 организации имеют частную форму собственности, что составляет 30,3% (в 2023 году – 22 организации или 30,1%, в 2022 году – 22 организац</w:t>
      </w:r>
      <w:r>
        <w:rPr>
          <w:sz w:val="28"/>
          <w:szCs w:val="28"/>
          <w:highlight w:val="white"/>
        </w:rPr>
        <w:t xml:space="preserve">ии или 30,1%, в 2021 году – 16 организаций или 25,4%). 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2024 году к организации отдыха и оздоровления приступили три новые организации, общая проектная мощность которых составляет 332 места.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рганизованными формами отдыха и оздоровления в 2024 году охвачено 135 563 ребенка (в 2018 году – 147 025 детей; в 2019 году – 153 528 детей; за  три  месяца  2020  года  –  4 941  ребенок,  в  2021  году –  117 963  ребенка,  в 2022 году – 130 597 детей, в</w:t>
      </w:r>
      <w:r>
        <w:rPr>
          <w:sz w:val="28"/>
          <w:szCs w:val="28"/>
          <w:highlight w:val="white"/>
        </w:rPr>
        <w:t xml:space="preserve"> 2023 году – 135 167 детей).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целях развития конкуренции в Новосибирской области на рынке услуг детского отдыха и оздоровления при размещении конкурсной документации на электронных торговых площадках не установлено ограничений по участию организаций, имеющих частную форму собственност</w:t>
      </w:r>
      <w:r>
        <w:rPr>
          <w:sz w:val="28"/>
          <w:szCs w:val="28"/>
          <w:highlight w:val="white"/>
        </w:rPr>
        <w:t xml:space="preserve">и.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жегодно с 2021 года стоимость путевок повышалась с учетом роста потребительских цен, однако организации, имеющие частную форму собственности (в основном это организации круглогодичного действия и палаточного типа), считают данную стоимость путевок низкой. </w:t>
      </w:r>
      <w:r>
        <w:rPr>
          <w:sz w:val="28"/>
          <w:szCs w:val="28"/>
          <w:highlight w:val="white"/>
        </w:rPr>
        <w:t xml:space="preserve">Таким образом, уровень участия организаций, имеющих частную форму собственности, в электронных аукционах на электронных торговых площадках определен как невысокий.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 счет средств областного бюджета Новосибирской области министерством труда и социального развития Новосибирской области в 2024 году приобретено 20 206 путевок (в 2019 году – 19 868 путевок, в 2020 году – 2 900 путевок, в 2021 году – 19 624 путевки, в 2022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году – 18 285 путевок, в 2023 году – 20 208 путевок) в организации отдыха детей и их оздоровления Новосибирской области, в том числе 8 908 путевок для детей, находящихся в трудной жизненной ситуации (в 2019 году – 11 598 путевок, в 2020 году – 1 201 путевк</w:t>
      </w:r>
      <w:r>
        <w:rPr>
          <w:sz w:val="28"/>
          <w:szCs w:val="28"/>
          <w:highlight w:val="white"/>
        </w:rPr>
        <w:t xml:space="preserve">а, в 2021 году – 8 765 путевок, в 2022 году – 8 661 путевка, в 2023 году – 10 203 путевки).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2024 году заключено 59 контрактов на оказание услуг по организации отдыха и оздоровления детей с семью организациями отдыха детей и их оздоровления частной формы собственности, в которых отдохнули 5 023 ребенка (в 2020 году – 668 детей, в 2021 году – 2 31</w:t>
      </w:r>
      <w:r>
        <w:rPr>
          <w:sz w:val="28"/>
          <w:szCs w:val="28"/>
          <w:highlight w:val="white"/>
        </w:rPr>
        <w:t xml:space="preserve">5 детей, в 2022 году – 1 586 детей, в 2023 году – 1 501 ребенок). 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з общего числа детей организован отдых и оздоровление 2 038 детей категории «дети, находящиеся в трудной жизненной ситуации» (в 2019 году – 3 042 ребенка, в 2020 году – 337 детей, в 2021 году – 2 198 детей, в 2022 году – 2 213 детей, в 2023 году – 2 804 ре</w:t>
      </w:r>
      <w:r>
        <w:rPr>
          <w:sz w:val="28"/>
          <w:szCs w:val="28"/>
          <w:highlight w:val="white"/>
        </w:rPr>
        <w:t xml:space="preserve">бенка) в четырех оздоровительных учреждениях частной формы собственности, заключено 23 контракта (в 2019 году – 22 контракта, в 2020 году – четыре контракта, в 2021 году – 19 контрактов, в 2022 году – 19 контрактов, в 2023 году – 12 контрактов).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 целью внедрения новых принципов развития сектора детского отдыха продолжается реализация стратегии развития сферы отдыха и оздоровления детей на территории Новосибирской области, которая нацелена на повышение доступности отдыха и оздоровления детей в Ново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ибирской области; улучшение (повышение) качества предоставляемых услуг в сфере организации отдыха и оздоровления детей путем дальнейшего укрепления материально-технической базы и развития инфраструктуры организаций отдыха детей и их оздоровления, расширени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спектра вариативных программ детского отдыха и оздоровления в Новосибирской области; увеличение количества мест размещения для отдыха и оздоровления детей, отвечающих требованиям контрольно-надзорных органов; комплексное развитие и увеличение количества о</w:t>
      </w:r>
      <w:r>
        <w:rPr>
          <w:sz w:val="28"/>
          <w:szCs w:val="28"/>
          <w:highlight w:val="white"/>
        </w:rPr>
        <w:t xml:space="preserve">рганизаций отдыха детей и их оздоровления; совершенствование системы повышения квалификации и подготовки специалистов в сфере организации отдыха и оздоровления детей.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Проблемы: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стоимость путевки в организации отдыха детей и их оздоровления не покрывает затраты негосударственных организаций на капитальные вложения (приобретение оборудования, капитальные ремонты);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недостаток ресурсов у субъектов предпринимательской деятельности для создания и развития бизнеса в сфере услуг детского отдыха и оздоровления.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Задачи: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привлечение негосударственных организаций в сферу оказания услуг отдыха и оздоровления;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содействие развитию конкуренции на рынке услуг детского отдыха и оздоровления.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Цель: создание условий для развития конкуренции на рынке услуг детского отдыха и оздоровления.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6"/>
        <w:ind w:firstLine="709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tbl>
      <w:tblPr>
        <w:tblW w:w="14854" w:type="dxa"/>
        <w:jc w:val="center"/>
        <w:tblInd w:w="8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2511"/>
        <w:gridCol w:w="1280"/>
        <w:gridCol w:w="825"/>
        <w:gridCol w:w="378"/>
        <w:gridCol w:w="1224"/>
        <w:gridCol w:w="1224"/>
        <w:gridCol w:w="668"/>
        <w:gridCol w:w="542"/>
        <w:gridCol w:w="1088"/>
        <w:gridCol w:w="831"/>
        <w:gridCol w:w="262"/>
        <w:gridCol w:w="1093"/>
        <w:gridCol w:w="1109"/>
        <w:gridCol w:w="1109"/>
      </w:tblGrid>
      <w:tr>
        <w:tblPrEx/>
        <w:trPr>
          <w:jc w:val="center"/>
          <w:trHeight w:val="227"/>
        </w:trPr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5.2. Ключевые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2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2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2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2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отдыха и оздоровления детей частной формы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24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23,7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24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23,9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11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24,5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25,8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30,1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30,2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85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61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9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6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7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616" w:type="dxa"/>
            <w:textDirection w:val="lrTb"/>
            <w:noWrap w:val="false"/>
          </w:tcPr>
          <w:p>
            <w:pPr>
              <w:pStyle w:val="986"/>
              <w:jc w:val="both"/>
              <w:widowControl w:val="off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Оказание содействия в проведении конкурентных процедур по закупке услуг по предоставлению детского отдыха и оздор</w:t>
            </w:r>
            <w:r>
              <w:rPr>
                <w:highlight w:val="white"/>
                <w:lang w:eastAsia="en-US"/>
              </w:rPr>
              <w:t xml:space="preserve">овления в организациях отдыха и </w:t>
            </w:r>
            <w:r>
              <w:rPr>
                <w:highlight w:val="white"/>
                <w:lang w:eastAsia="en-US"/>
              </w:rPr>
              <w:t xml:space="preserve">оздоровления детей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95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обеспечение равных условий деятельности организаций отдыха и оздоровления детей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министерство труда 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социального развития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616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контрактов на оказание услуг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организаци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и отдыха и оздоровления детей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негосударственны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ми организациями отдыха детей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х оздоровления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Федеральным законом от 05.04.2013 № 44-ФЗ «О контрактной системе 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95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увеличение доли контрактов на оказание услуг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государственных нужд, заключенных с организациями отдыха детей и их оздоровления, находящимися в частной форме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министерство труда 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616" w:type="dxa"/>
            <w:textDirection w:val="lrTb"/>
            <w:noWrap w:val="false"/>
          </w:tcPr>
          <w:p>
            <w:pPr>
              <w:pStyle w:val="986"/>
              <w:jc w:val="both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Оказание методической и консультативной помощи частным учреждениям по вопросам участия в конкурсе областных профильных смен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95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увеличение количества детей, отдохнувших в частных организациях отдыха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оздоровления детей в рамках программ областных профильных смен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министерство труда 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социального развития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5.3.4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616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Формирование открыто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го реестра организаций отдыха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оздоровления детей, расположенных на территории региона, и размещение его в открытом доступе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95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повышение уровня информированности организаций и населения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министерство труда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социального развития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5.3.5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Своевременная актуализация информации, размеще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нной в разделе «Детский отдых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оздоровление»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министерства труда и социального развития Новосибирской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возможно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стью получения обратной связи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95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повышение качества и расширение спектра оказываемых услуг детского отдыха и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министерство труда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социального развития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6. Рынок услуг розничной торговли лекарственными препаратами, медицинскими изделиями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сопутствующими товарами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состоянию на 01.06.2019 на территории Новосибирской области розничная торговля лекарственными препаратами осуществляется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543 аптеками, аптечными пунктами (505 юридических лиц, индивидуальных предпринимателей), из них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386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аптек, аптечных пунктов частной формы собственности (457 юридических лиц, индивидуальных предпринимателей)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157 аптек, аптечных пунктов государственной и муниципальной форм собственности (в число аптечных организаций государственной формы собственности не включены 79 объектов ГБУЗ НСО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Новосибоблфарм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», осу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ществляющих только отпуск лекарственных препаратов по бесплатным и льготным рецептам). Доля присутствия частного бизнеса составляет 89,3% от общего числа точек розничной торговли лекарственными препаратами, медицинскими изделиями и сопутствующими товарами.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период 2014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2019 годов в Новосибирской области про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изошло увеличение количества участников на фармацевтическом рынке (юридических лиц, индивидуальных предпринимателей) на 5,2% и на 13,1% аптек, аптечных пунктов розничной торговли лекарственными препаратами, медицинскими изделиями и сопутствующими товарами.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По состоянию на 01.01.2014 фармацевтическую деятельность осуществляло 480 организаций, из них 405 организаций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 –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 частной формы собственности, функционировало 1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364 аптеки, аптечных пункт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, из них 1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174 организации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частной формы собственности (доля частного бизнеса – 86%).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Доля организаций частной формы собственност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и в сфере услуг розничной торговли лекарственными препаратами, медицинскими изделиями и сопутствующими товарами составляет 89,8%, что значительно превышает ключевой показатель, установленный стандартом развития конкуренции в субъектах Российской Федерации.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Проблемы: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неравномерное размещение аптек и аптечных пунктов на территории Новосибирской области. Основная часть точек розничной торговли лекарственными препаратами, медицинскими изделиями и сопутствующими товарами расположена на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территории г. Новосибирска, г. Бердска, г. 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Искитима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, г. Оби, где в связи с большой плотностью размещения аптечных учреждений имеет место высокий уровень конкуренции среди хозяйствующих субъектов, ниже цены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на лекарственные препараты. В то же время имеется недостаточный уровень лекарственного обеспечения жителей отдаленных населенных пунктов, расположенных в районах области, где отсутствуют аптечные организации в связи с экономической непривлекательностью для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участников рынка;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недостаточное обеспечение фармацевтическими кадрами, особенно в отдаленных районах области, что влияет на развитие фармацевтического рынка в районах области.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Задачи: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содействие развитию конкуренции на рынке услуг розничной торговли лекарственными препаратами, медицинскими изделиями и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сопутствующими товарами;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формирование условий для развития, поддержки и защиты субъектов малого и среднего предпринимательства, работающих на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рынке; повышение уровня их конкурентоспособности, а также содействие устранению административных барьеров.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Цель: развитие конкуренции на рынке розничной торговли лекарственными препаратами, медицинскими изделиями и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сопутствующими товарами.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ind w:right="198"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38"/>
        <w:gridCol w:w="2443"/>
        <w:gridCol w:w="1491"/>
        <w:gridCol w:w="390"/>
        <w:gridCol w:w="821"/>
        <w:gridCol w:w="1219"/>
        <w:gridCol w:w="1219"/>
        <w:gridCol w:w="463"/>
        <w:gridCol w:w="740"/>
        <w:gridCol w:w="1074"/>
        <w:gridCol w:w="658"/>
        <w:gridCol w:w="392"/>
        <w:gridCol w:w="1055"/>
        <w:gridCol w:w="1043"/>
        <w:gridCol w:w="12"/>
        <w:gridCol w:w="1043"/>
        <w:gridCol w:w="12"/>
      </w:tblGrid>
      <w:tr>
        <w:tblPrEx/>
        <w:trPr>
          <w:jc w:val="center"/>
        </w:trPr>
        <w:tc>
          <w:tcPr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6.2. Ключевые показатели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5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5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Доля организаций частной формы собств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енности 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 сфере услуг розничной торговли лекарственными препар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атами, медицинскими изделиями и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сопутствующими товарами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11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color w:val="auto"/>
                <w:spacing w:val="-6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highlight w:val="white"/>
              </w:rPr>
              <w:t xml:space="preserve">89,8</w:t>
            </w:r>
            <w:r>
              <w:rPr>
                <w:rFonts w:ascii="Times New Roman" w:hAnsi="Times New Roman" w:cs="Times New Roman"/>
                <w:color w:val="auto"/>
                <w:spacing w:val="-6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pacing w:val="-6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19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color w:val="auto"/>
                <w:spacing w:val="-6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highlight w:val="white"/>
              </w:rPr>
              <w:t xml:space="preserve">90,4</w:t>
            </w:r>
            <w:r>
              <w:rPr>
                <w:rFonts w:ascii="Times New Roman" w:hAnsi="Times New Roman" w:cs="Times New Roman"/>
                <w:color w:val="auto"/>
                <w:spacing w:val="-6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pacing w:val="-6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19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color w:val="auto"/>
                <w:spacing w:val="-6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highlight w:val="white"/>
              </w:rPr>
              <w:t xml:space="preserve">91</w:t>
            </w:r>
            <w:r>
              <w:rPr>
                <w:rFonts w:ascii="Times New Roman" w:hAnsi="Times New Roman" w:cs="Times New Roman"/>
                <w:color w:val="auto"/>
                <w:spacing w:val="-6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pacing w:val="-6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color w:val="auto"/>
                <w:spacing w:val="-6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highlight w:val="white"/>
              </w:rPr>
              <w:t xml:space="preserve">91</w:t>
            </w:r>
            <w:r>
              <w:rPr>
                <w:rFonts w:ascii="Times New Roman" w:hAnsi="Times New Roman" w:cs="Times New Roman"/>
                <w:color w:val="auto"/>
                <w:spacing w:val="-6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pacing w:val="-6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91,5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91,5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91,5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91,5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91,5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jc w:val="center"/>
          <w:trHeight w:val="20"/>
        </w:trPr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top w:w="57" w:type="dxa"/>
              <w:bottom w:w="57" w:type="dxa"/>
            </w:tcMar>
            <w:tcW w:w="1364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55" w:type="dxa"/>
            <w:textDirection w:val="lrTb"/>
            <w:noWrap w:val="false"/>
          </w:tcPr>
          <w:p>
            <w:pPr>
              <w:pStyle w:val="982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jc w:val="center"/>
          <w:trHeight w:val="354"/>
        </w:trPr>
        <w:tc>
          <w:tcPr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0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6.3.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3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32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72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7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4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3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6.3.1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3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Информирование представителей предпринимательского сообщества об изменениях законодательства по лицензированию путем размещения информации на сайте министерства здравоохранения Новосибирской области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повышение уровня информированности бизнес-сообщества. Своевременное реагирование на изменения требований к организациям, осуществляющим фармацевтическую деятельность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4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3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6.3.2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3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Ведение реес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тра предоставленных лицензий на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фармацевтической деятельности с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размещением информации на сайте министерства здравоох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ранения Новосибирской области о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предоставле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нных государственных услугах по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лицензированию фармацевтической деятельности (ежемесячно), ин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формации из реестра лицензий об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организациях, осуществляющих розничную продажу лекарственных препаратов на территории Новосибирской области, с указанием адресов мест осуществления деятельности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обеспечение доступности потребителей товаров, работ, услуг, субъектов предпринимательской деятельности к получению информации об организациях, осуществляющих фармацевтическую деятельность, адресах размещения аптек, аптечных пунктов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4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3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6.3.3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3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Организация предоставления государственной услуги по лицензированию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фармацевтической деятельности в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части приема заявлений и документ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ов отделениями ГАУ НСО «МФЦ», 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электронной форме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повышение доступности полу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чения государственной услуги по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лицензированию фармацевтической деятельности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4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3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6.3.4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3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Осуществление межведомственного информационного взаимодействия при предостав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лении государственной услуги по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лицензированию от иных органов исполнительной власти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сокращение количества документов, предоставляемых юридическими лицами, индивидуальными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предпринимателями к заявлению о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предоставлении государственной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услуги 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 лицензированию фармацевтической деятельности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4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</w:tr>
    </w:tbl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7. Рынок психолого-педагогического сопровождения детей с ограниченными возможностями здоровья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7.1. Исходная фактическая информация в отношении си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Новосибирской области продолжено принятие мер по дальнейшему развитию модели оказания ранней помощи и поддержки детям с ограниченными возможностями здоровья в рамках программы по совершенствованию системы ранней помощи на территории Новосибирской области 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а период 2021-2024 годов. Данная программа предусматривает развитие системы своевременного выявления и оказания ранней помощи на территории региона, развитие межведомственного взаимодействия, повышение доступности услуг ранней помощи за счет создания новых</w:t>
      </w:r>
      <w:r>
        <w:rPr>
          <w:sz w:val="28"/>
          <w:szCs w:val="28"/>
          <w:highlight w:val="white"/>
        </w:rPr>
        <w:t xml:space="preserve"> и развития действующих ранее созданных служб ранней помощи, развитие различных форм поддержки детей целевой группы и их родителей, подготовку специалистов по ранней помощи и повышение квалификации специалистов на базе ресурсных центров.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 состоянию на 1 января 2025 года численность детей-инвалидов, проживающих в Новосибирской области, составила 13 627 человек (на 1 января 2019 года - 9,4 тыс. человек, на 1 января 2020 года - 10,0 тыс. человек, на 1 января 2021 года - 10,6 тыс. человек, 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 января 2022 года - 11,2 тыс. человек, 1 января 2023 года – 11,35 тыс. человек, 1 января 2024 года – 13,0 тыс. человек), социальные услуги на базе организаций социального обслуживания в 2024 году получили – 6,0 тыс. детей (в 2019 году - 8,4 тыс. детей, в </w:t>
      </w:r>
      <w:r>
        <w:rPr>
          <w:sz w:val="28"/>
          <w:szCs w:val="28"/>
          <w:highlight w:val="white"/>
        </w:rPr>
        <w:t xml:space="preserve">2020 году - 5,9 тыс. детей, в 2021 году - 9,45 тыс. детей, в 2022 году – 10,35 тыс. детей, в 2023 году – 6,1 тыс. детей).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слуги ранней помощи были оказаны 1 211 детям с ограниченными возможностями, в том числе 138 детям (11,4%) - в негосударственных организациях (в 2019 году – 1 284/130 (10,1%), в 2020 году – 1 268/128 (10,1%), в 2021 году – 690/79 (11,4%), в 2022 году – 2 87</w:t>
      </w:r>
      <w:r>
        <w:rPr>
          <w:sz w:val="28"/>
          <w:szCs w:val="28"/>
          <w:highlight w:val="white"/>
        </w:rPr>
        <w:t xml:space="preserve">2/327 (11,4%) соответственно, в 2023 году – 1 242/142 (11,4%) соответственно).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истема учреждений социального обслуживания населения области, оказывающих реабилитационные услуги детям-инвалидам, представлена 42 учреждениями (34 муниципальных учреждения и восьми государственных) (в 2020 году - 51 учреждение (45/6), в 2021 году - 40 учр</w:t>
      </w:r>
      <w:r>
        <w:rPr>
          <w:sz w:val="28"/>
          <w:szCs w:val="28"/>
          <w:highlight w:val="white"/>
        </w:rPr>
        <w:t xml:space="preserve">еждений (35/5), в 2022 году – 40 учреждений (35/5), в 2023 году – 40 учреждений (35/5)).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2024 году в рамках реализации 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 17 ноября 2021 года № 462-п, по результатам конкурсных отборов</w:t>
      </w:r>
      <w:r>
        <w:rPr>
          <w:sz w:val="28"/>
          <w:szCs w:val="28"/>
          <w:highlight w:val="white"/>
        </w:rPr>
        <w:t xml:space="preserve"> 17 некоммерческим организациям предоставлены субсидии (в 2019-2020 годах – по 15 ежегодно, в 2021 году – 12, в 2022 году – 16, в 2023 году - 16).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оля негосударственных организаций частной формы собственности в сфере услуг психолого-педагогического сопровождения детей с ограниченными возможностями здоровья составила 29,3% (в 2019 году – 22,72%, в 2020 году – 23,8%, в 2021 году – 24,5%, в 2022 году – </w:t>
      </w:r>
      <w:r>
        <w:rPr>
          <w:sz w:val="28"/>
          <w:szCs w:val="28"/>
          <w:highlight w:val="white"/>
        </w:rPr>
        <w:t xml:space="preserve">28,5%, в 2023 году – 28,5%).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полномочий министерства труда и социального развития Новосибирской области обеспечено: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заимодействие с органами и организациями социальной сферы для проведения муниципальными образованиями региона социального картирования ресурсов и возможностей с целью проактивного информирования, в том числе семей с детьми-инвалидами, по вопросам получения</w:t>
      </w:r>
      <w:r>
        <w:rPr>
          <w:sz w:val="28"/>
          <w:szCs w:val="28"/>
          <w:highlight w:val="white"/>
        </w:rPr>
        <w:t xml:space="preserve"> услуг в социальной сфере. 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Проблемы: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отсутствие у негосударственных организаций необходимых помещений, материально-технической базы для оказания услуг (в том числе мебели, мягкого инвентаря, реабилитационного оборудования), стабильного кадрового состава;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недостаточный уровень межведомственного взаимодействия в подходе к оказанию услуг, в том числе отсутствие условий для электронного документооборота, отсутствие возможности подключения к базам данных;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е все гарантии государства для сотрудников негосударственных организаций равноценны гарантиям, предоставляемым сотрудникам государственных (муниципальных) учреждений: повышение оплаты труда, длительность гарантированных отпусков, требование к обучению (пов</w:t>
      </w:r>
      <w:r>
        <w:rPr>
          <w:sz w:val="28"/>
          <w:szCs w:val="28"/>
          <w:highlight w:val="white"/>
        </w:rPr>
        <w:t xml:space="preserve">ышению квалификации).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Задача: содействие развитию конкуренции на рынке психолого-педагогического сопровождения детей с ограниченными возможностями здоровья.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Цель: развитие сектора негосударственных (немуниципальных) организаций, оказывающих услуги психолого-педагогического сопровождения детей с ограниченными возможностями здоровья.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6"/>
        <w:ind w:firstLine="709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63"/>
        <w:gridCol w:w="1281"/>
        <w:gridCol w:w="1200"/>
        <w:gridCol w:w="1200"/>
        <w:gridCol w:w="1200"/>
        <w:gridCol w:w="1203"/>
        <w:gridCol w:w="1093"/>
        <w:gridCol w:w="1093"/>
        <w:gridCol w:w="1093"/>
        <w:gridCol w:w="1093"/>
        <w:gridCol w:w="1093"/>
      </w:tblGrid>
      <w:tr>
        <w:tblPrEx/>
        <w:trPr>
          <w:jc w:val="center"/>
        </w:trPr>
        <w:tc>
          <w:tcPr>
            <w:gridSpan w:val="11"/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7.2. Ключевые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3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3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услуг психолого-педагогического сопровождения детей с ограниченными возможностями здоровья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22,7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22,7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23,8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3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23,8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24,5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28,5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28,5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28,5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29,3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3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Доля детей с ограниче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нными возможностями здоровья (в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 возрасте до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лет), получающих услуги ранней диагностики, социализации 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реабилитации в частных организациях сферы услуг психолого-педагогического сопровождения дет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ей, в общей численности детей 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 ограниченными возможностями здоровья (в возрасте до 3 лет), получающих услуги ранней диагн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остики, социализации и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реабилитации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5,2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8,12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10,1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3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10,1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11,4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11,4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11,4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11,4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11,4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854" w:type="dxa"/>
        <w:jc w:val="center"/>
        <w:tblInd w:w="8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9"/>
        <w:gridCol w:w="5110"/>
        <w:gridCol w:w="3699"/>
        <w:gridCol w:w="2668"/>
        <w:gridCol w:w="2668"/>
      </w:tblGrid>
      <w:tr>
        <w:tblPrEx/>
        <w:trPr>
          <w:jc w:val="center"/>
        </w:trPr>
        <w:tc>
          <w:tcPr>
            <w:gridSpan w:val="5"/>
            <w:tcMar>
              <w:top w:w="57" w:type="dxa"/>
              <w:bottom w:w="57" w:type="dxa"/>
            </w:tcMar>
            <w:tcW w:w="1485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511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69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6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6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7.3.1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5110" w:type="dxa"/>
            <w:textDirection w:val="lrTb"/>
            <w:noWrap w:val="false"/>
          </w:tcPr>
          <w:p>
            <w:pPr>
              <w:pStyle w:val="987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Поддержка социально значимых проектов негосударственных (немуниципальных) организаций, направленных на оказание услуг ранней диагностики, социализации и реабилитации детей с ограниченными возможностями здоровья.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8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П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ривлечение негосударственных (немуниципальных) организаций к участию в государственных программах через предоставление субсидий на конкурсной основе на оказание услуг ранней диагностики, социализации и реабилитации детей с ограниченными возможностями здоро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вья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699" w:type="dxa"/>
            <w:textDirection w:val="lrTb"/>
            <w:noWrap w:val="false"/>
          </w:tcPr>
          <w:p>
            <w:pPr>
              <w:pStyle w:val="987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увеличение числа негосударственных (немуниципальных) организаций, предоставляющих услуги ранней диагностики, социализации и реабилитации детей с ограниченными возможностями здоровья.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8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Повышение доступности услуг ранней диагностики, социализации и реабилитации детей с ограниченными возможностями здоровья. Предоставление услуг ранней помощи детям с ограниченными возможностями здоровья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68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министерство труда 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социального развития Новосибирской области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7.3.2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5110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Оказание информационной поддержки негосударственным (немуниципальным) организациям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699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повышение привлекательности негосударственных (немуниципальных) организаций, оказывающих услуги ран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ней диагностики, социализации и реабилитации дет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 с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ограниченными возможностями здоровья.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98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Повышение статуса негосударственных (немуниципальных) организаций, оказывающих услуги ран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ней диагностики, социализации и реабилитации дет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 с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ограниченными возможностями здоровья.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98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Увеличение числа детей с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ограниченными возможностями здоровья, получивших услуги ранней помощи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68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министерство труда 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en-US"/>
              </w:rPr>
              <w:t xml:space="preserve">социального развития Новосибирской области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5110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Проведение семинаров, круглых столов, конфере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нций по вопросам оказания услуг ранней диагностики, социализации и реабилитации детей с ограниченными возможностями здоровья, с участием негосударственных (немуниципальных) организаций, оказывающих услуги ранней диагностики, социализации и реабилитации дет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699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повышение квалифик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ации специалистов, работающих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негосударственных (немуниципальных) организациях, оказывающих услуги ранней диагностики, социализации и реабилитации дет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 с ограниченными возможностями здоровья.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Повышение качества предоставляемых услуг ран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ней диагностики, социализации 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реабилитации детей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68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министерство труда 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7.3.4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5110" w:type="dxa"/>
            <w:textDirection w:val="lrTb"/>
            <w:noWrap w:val="false"/>
          </w:tcPr>
          <w:p>
            <w:pPr>
              <w:pStyle w:val="986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Поддержание в актуальном состоянии реестра организаций, оказывающих услуги семьям, воспитывающим детей-инвалидов и детей, имеющих ограничения жизнедеяте</w:t>
            </w:r>
            <w:r>
              <w:rPr>
                <w:highlight w:val="white"/>
              </w:rPr>
              <w:t xml:space="preserve">льности, в том числе детям от 0 </w:t>
            </w:r>
            <w:r>
              <w:rPr>
                <w:highlight w:val="white"/>
              </w:rPr>
              <w:t xml:space="preserve">до 3 лет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699" w:type="dxa"/>
            <w:textDirection w:val="lrTb"/>
            <w:noWrap w:val="false"/>
          </w:tcPr>
          <w:p>
            <w:pPr>
              <w:pStyle w:val="986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ф</w:t>
            </w:r>
            <w:r>
              <w:rPr>
                <w:highlight w:val="white"/>
              </w:rPr>
              <w:t xml:space="preserve">ормирование дополнительного инструментария для повышения информированн</w:t>
            </w:r>
            <w:r>
              <w:rPr>
                <w:highlight w:val="white"/>
              </w:rPr>
              <w:t xml:space="preserve">ости специалистов и родителей о </w:t>
            </w:r>
            <w:r>
              <w:rPr>
                <w:highlight w:val="white"/>
              </w:rPr>
              <w:t xml:space="preserve">возможности получения услуг ранней помощи.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86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Актуализация информации о </w:t>
            </w:r>
            <w:r>
              <w:rPr>
                <w:highlight w:val="white"/>
              </w:rPr>
              <w:t xml:space="preserve">ресурсах подраз</w:t>
            </w:r>
            <w:r>
              <w:rPr>
                <w:highlight w:val="white"/>
              </w:rPr>
              <w:t xml:space="preserve">делений (служб </w:t>
            </w:r>
            <w:r>
              <w:rPr>
                <w:highlight w:val="white"/>
              </w:rPr>
              <w:t xml:space="preserve">ранней помощи) и </w:t>
            </w:r>
            <w:r>
              <w:rPr>
                <w:highlight w:val="white"/>
              </w:rPr>
              <w:t xml:space="preserve">организаций, оказывающих раннюю помощь, в Новосибирской области.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86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Повышение доступности оказываемой п</w:t>
            </w:r>
            <w:r>
              <w:rPr>
                <w:highlight w:val="white"/>
              </w:rPr>
              <w:t xml:space="preserve">омощи детям-инвалидам и детям с </w:t>
            </w:r>
            <w:r>
              <w:rPr>
                <w:highlight w:val="white"/>
              </w:rPr>
              <w:t xml:space="preserve">ограниченными возможностями здоровья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68" w:type="dxa"/>
            <w:textDirection w:val="lrTb"/>
            <w:noWrap w:val="false"/>
          </w:tcPr>
          <w:p>
            <w:pPr>
              <w:pStyle w:val="986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министерство труда и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социального развития Новосибирской области;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86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министерство образования Новосибирской области;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86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министерство здравоохранения </w:t>
            </w:r>
            <w:r>
              <w:rPr>
                <w:highlight w:val="white"/>
              </w:rPr>
              <w:t xml:space="preserve">Новосибирской области во взаимодействии с организациями, оказывающими услуги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7.3.5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5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межведомственн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ого взаимодействия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целях создания оптимальных условий для оказания услуг ран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ней диагностики, социализации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реабилитации детей с ограниченными возможностями здоровья, в том числе в частных негосударственных (немуниципальных)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699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развитие сектора частных организаций, оказывающих услуги ранней диагностики, социализации и реабилитации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68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министерство труда 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i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8. Рынок социальных услуг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1 января 2025 года в реестре поставщиков социальных услуг зарегистрировано 159 организаций, в том числе 71 СОНКО и 17 коммерческих организаций (на 1 января 2019 года – 134 организации, на 1 января 2020 года – 141 организация, на 1 января 2021 года – 146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организаций, на 1 января 2022 года – 142 организации, на 1 января 2023 года - 145 организаций, на 1 января 2024 года - 161 организация).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2024 году финансовую поддержку получили 47 некоммерческих организаций (в 2020 году – 55 негосударственных (немуниципальных) организаций, в 2021 году – 41 СОНКО, в 2022 году - 54 СОНКО, в 2023 году - 57 СОНКО).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Новосибирской области барьеры для вступления некоммерческих организаций в реестр поставщиков социальных услуг отсутствуют. Любая фактически действующая организация (индивидуальный предприниматель) вправе подать заявление о включении в реестр поставщиков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циальных услуг, в порядке, утвержденном постановлением Правительства Новосибирской области от 20 октября 2014 года № 420-п «Об утверждении порядка формирования и ведения реестра поставщиков социальных услуг». Отдельных требований для включения в реестр пос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тавщиков социальных услуг к штатному расписанию, сроку работы, содержанию устава вышеуказанным постановлением не установлено.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оставщики социальных услуг, оказывающие гражданам социальные услуги, предусмотренные индивидуальной программой предоставления социальных услуг, не участвующие в выполнении государственного задания, имеют право на компенсацию расходов, связанных с предостав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ением услуг в соответствии с постановлением Правительства Новосибирской области от 9 февраля 2015 года № 49-п «О размере и порядке выплаты компенсации поставщикам социальных услуг, предоставляющим гражданам социальные услуги, предусмотренные индивидуальной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соответствии с приказом департамента по тарифам Новосибирской области от 10 декабря 2024 года № 342-ТС/НПА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территории Новосибирской области, и о признании утратившим силу приказа департамента по тарифам Новосибирской области от 5 декабря 2023 года № 415-ТС/НПА, от 2 апреля 2024 года № 71-ТС/НПА» установлены новые предельные максимальные тарифы на социальные усл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уги, предоставляемые поставщиками социальных услуг в Новосибирской области.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Новосибирской области действует Координационный совет по вопросам обеспечения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Новосибирской области (постановление Губернатора Новосибирской области от 29 июля 2016 года № 168 «О Координационном совете по обеспечению поэтапного доступа негосударственных организаций, осуществляющих деятельность в социальной сфере, к бюджетным средст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вам, выделяемым на предоставление социальных услуг населению в Новосибирской области»).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остановлением Правительства Новосибирской области от 12 октября 2021 года № 412-п утвержден комплексный план Новосибирской области по обеспечению поэтапного доступа негосударственных организаций, осуществляющих деятельность в социальной сфере, к бюджетным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средствам, выделяемым на предоставление социальных услуг населению, на 2021-2024 годы (далее – комплексный план). Заместителем Губернатора Новосибирской области утвержден комплексный план на 2025-2028 годы. 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Осуществляется информационная и консультационная поддержка СОНКО. В рамках оказания содействия развитию кадрового потенциала СОНКО проводятся семинары и обучающие мероприятия. Специалисты СОНКО приглашаются к участию в методических мероприятиях, организуем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учреждениями социального обслуживания, с целью обмена опытом и распространением эффективных практик.  Обеспечена возможность участия в конкурсах профессионального мастерства. Организована совместная разработка социальных проектов и программ с целью участ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ия в конкурсных отборах на получение грантов. Представители некоммерческих организаций включены в состав наблюдательных и попечительских советов, в деятельность по проведению независимой оценки качества условий оказания социальных услуг.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2021 года Новосибирская область является пилотным регионом по реализации Федерального закона от 13 июля 2022 года № 189-ФЗ «О государственном (муниципальном) социальном заказе на оказание государственных (муниципальных) услуг в социальной сфере».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2024 году министерством труда и социального развития Новосибирской области продолжено внедрение нового направления работы – государственный социальный заказ на оказание государственных услуг в социальной сфере. Апробация с применением механизмов отбора ис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олнителей государственных услуг осуществлялась в отношении двух услуг: оказание социальных услуг, предоставляемых гражданам при отсутствии определенного места жительства и занятий в полустационарной форме, и организация сопровождения при содействии занятос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ти инвалидов.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Норматив затрат полностью покрывает стандарт оказания услуги, при этом он одинаков для государственных учреждений и негосударственных организаций. 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итогам 2024 года государственная услуга «организация социальных услуг, предоставляемых гражданам при отсутствии определенного места жительства и занятий в полустационарной форме» оказана девятью СОНКО по 977 социальным сертификатам на сумму 22,9 млн рубл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ей (в 2022 году – восемь СОНКО, 377 сертификатов, 8,1 млн рублей, в 2023 году - девять СОНКО, 600 сертификатов, 13,1 млн рублей).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услуге «организация сопровождения при содействии занятости инвалидов» реализовано 60 сертификатов на сумму 1,2 млн рублей по которым в качестве исполнителей выбраны две некоммерческие организации (в 2022 году – две СОНКО, десять сертификатов, 200 тыс. ру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блей, в 2023 году - две СОНКО, 40 сертификатов, 800 тыс. рублей).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недостаточность ресурсов для обеспечения финансовой поддержки общественных организаций, предоставляющих социальные услуги населению;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низкая конкурентоспособность;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отсутствие у альтернативных поставщиков необходимых помещений материально-технической базы для оказания услуг (в том числе мебели, мягкого инвентаря, реабилитационного оборудования), стабильного кадрового состава;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недостаточный уровень межведомственного взаимодействия в подходе оказания услуг, в том числе отсутствие условий для электронного обмена документов, отсутствие возможности подключения к базам данных;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все гарантии государства для сотрудников негосударственных организаций равноценны гарантиям, предоставляемым сотрудникам государственных (муниципальных) учреждений: повышение оплаты труда, длительность гарантированных отпусков, требование к обучению (пов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ышению квалификации) и др.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Задача: содействие развитию конкуренции на рынке социальных услуг.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развитие сектора негосударственных (немуниципальных) организаций на рынке социальных услуг.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pStyle w:val="986"/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18"/>
        <w:gridCol w:w="1281"/>
        <w:gridCol w:w="1200"/>
        <w:gridCol w:w="1200"/>
        <w:gridCol w:w="1200"/>
        <w:gridCol w:w="1202"/>
        <w:gridCol w:w="1065"/>
        <w:gridCol w:w="1065"/>
        <w:gridCol w:w="1062"/>
        <w:gridCol w:w="1060"/>
        <w:gridCol w:w="1060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8.2. Ключевые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негосударственных организаций социального обслуживания, предоставляющих социальные услуги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28,6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889" w:type="dxa"/>
        <w:jc w:val="center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26"/>
        <w:gridCol w:w="5179"/>
        <w:gridCol w:w="3669"/>
        <w:gridCol w:w="2657"/>
        <w:gridCol w:w="2657"/>
      </w:tblGrid>
      <w:tr>
        <w:tblPrEx/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88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2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17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6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2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финансовой поддержки негосударственным организациям, оказывающим услуги населению, по итогам конкурсных отборов на предоставление субсидий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увеличение количества соци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альных услуг, предоставляемых в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Новосибирской области некоммерческими организациями.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конкурентоспособности некоммерческих организаций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труда 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2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ыплата компенсации поставщикам социальных услуг, предоставляющим гражданам социальные услуги, предусмотренные индивидуальной программой предоставления социальных услуг, включенным в реестр поставщиков социальных услуг в Новосибирской области, но не участву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ющим в выполнении государственного задания (заказа)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69" w:type="dxa"/>
            <w:textDirection w:val="lrTb"/>
            <w:noWrap w:val="false"/>
          </w:tcPr>
          <w:p>
            <w:pPr>
              <w:pStyle w:val="986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развитие сектора негосударственных организаций, оказывающих социальные услуги, в рамках реализации Федерального закона от 28.12.2013 № 442-ФЗ «Об основах социального обслуживания граждан в Российской Федерации»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труда 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2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Оказание информационной и консультационной поддержки негосударственным организациям по вопросам включения в реестр поставщиков социальных услуг Новосибирской области, в конкурсных отборах на предоставление субсидий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количества негосударственных организаций, предоставляющих социальные услуги населению. Повышение конкурентоспособности негосударственных организаций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труда 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2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8.3.4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методической помощи негосударственным ор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ганизациям с целью их участия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конкурсных 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тборах на получение субсидий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исключением конкурсных отборов, проводимых министерством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количества негосударственных организаций, предоставляющих социальные услуги населению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труда 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9. Рынок теплоснабжения (производство тепловой энергии)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9.1. Исходная фактическая информация в отношении си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туации и проблематики на рынке,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конкуренции в сфере теплоснабжения при снижении доли муниципальных и региональных предприятий приведет к сокращению неэффективных предприятий, что станет возможным за счет привлечения инвестиций и достижения в дальнейшем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экономического эффекта и прибыльного результата деятельности, а также увеличения объема производства тепловой энергии частным бизнесом.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состоянию на 2019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 производство или выработка тепловой энергии без учета организаций с федеральной долей собственности составляет 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742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023,55 Гкал.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Выработка тепловой энергии муниципальными и государственными предприятиями составляет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508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213,33 Гкал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или 12%.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Доля частного бизнеса в производстве тепловой энергии составляет 18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810, 22 Гкал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или 88%.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Теплоснабжение осуществляли 284 теплоснабжающих организации (ТСО), в том числе 187 муниципальных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государственных предприятий и 73 предприятия частной формы собственности (хозяйственные общества, индивидуальные предприниматели).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Крупнейшей организацией с частной формой собственности в сфере теплоснабжения в Новосибирской области является АО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«СИБЭКО», производство тепловой энергии составляет 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984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844,91 Гкал/год, доля на рынке тепловой энергии составляет 62,6%.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Крупнейшим муниципальным теплоснабжающим предприятием является МУП «Комбинат бытовых услуг», выработка тепловой энергии которого составляет 582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321,93 Гкал/год, доля на рынке тепловой энергии – 2,5%.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Большинство муниципальных предприятий совмещают деятельность по производству тепловой энергии с деятельностью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ее передаче (транспортировке).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Деятельность по передаче тепловой энергии относится к сфере естественных монополий.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Конкурентные процедуры используются при заключении концессионных соглашений и договоров аренды муниципальных котельных и тепловых сетей.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в Стратегии указано, что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одной из проблем, препятствующих развитию коммунально-энергетической инфраструктуры, является устаревшее оборудование, большой срок службы и изношенность инженерных коммуникаций, в том числе систем теплоснабжения, котельных в муниципальных образованиях;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связи с проводимой политикой по сдерживанию тарифов деятельность по производ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ству и передаче тепловой энергии убыточна. Объявляемые администрациями муниципальных образований конкурсы на право заключения концессионных соглашений признаются несостоявшимися в связи с отсутствием заявок. Фактически деятельность в сфере теплоснабжения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муниципальных образованиях (городские и сельские поселения) превратилась в социальные обязательства муниципалитетов;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низкая конкуренция на рынке оказания услуг теплоснабжения.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Задача: содействие развитию рынка теплоснабжения (производство тепловой энергии).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п</w:t>
      </w:r>
      <w:r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 xml:space="preserve">овышение качества оказания услуг на рынке теплоснабжения (производство тепловой энергии).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87"/>
        <w:gridCol w:w="1321"/>
        <w:gridCol w:w="1201"/>
        <w:gridCol w:w="1201"/>
        <w:gridCol w:w="1201"/>
        <w:gridCol w:w="1201"/>
        <w:gridCol w:w="1075"/>
        <w:gridCol w:w="1075"/>
        <w:gridCol w:w="1075"/>
        <w:gridCol w:w="1088"/>
        <w:gridCol w:w="1088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3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теплоснабжения (производство тепловой энергии)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3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81,3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88,8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89,2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90,5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90,6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90,6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819" w:type="dxa"/>
        <w:jc w:val="center"/>
        <w:tblInd w:w="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91"/>
        <w:gridCol w:w="5093"/>
        <w:gridCol w:w="3430"/>
        <w:gridCol w:w="2632"/>
        <w:gridCol w:w="2972"/>
      </w:tblGrid>
      <w:tr>
        <w:tblPrEx/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81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9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09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3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3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7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9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9.3.1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093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Сокращение неэффективных муниципальных унитарных предприятий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доля производства тепловой энергии муниципаль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ными унитарными предприятиями в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общем объеме производства тепловой э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нергии Новосибирской области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не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более 12%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министерство жи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лищно-коммунального хозяйства и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энергетики Новосибирской области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69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9.3.2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093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Передача мощно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стей (котельных), работающих на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газовом топливе, обслуживаемых неэффективными муниципальны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ми предприятиями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 в концессию, 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том числе структурам ПАО «Газпром»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увеличение объема производства тепловой энергии частным бизнесом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министерство жилищно-коммунального хозяйства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и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энергетики Новосибирской области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10. Рынок услуг по сбору и транспортированию твердых коммунальных отходов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Повышение качества окружающей среды и ликвидация накопленного вреда окружающей среде вследствие хозяйственной 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иной деятельности в условиях возрастающей экономической активности необходимы для благоприятной жизни человека 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устойчивого развития экономики. Обеспечение экологической безопасности населения Новосибирской области предусматривает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совершенствование системы обращения с отходами производства и потребления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в городских округах и муниципальных районах Новосибирской области, направленное на сокращение объемов захоронения отходов, увеличение объемов их утилизации 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переработки с учетом выполнения требований законодательства Ро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ссийской Федерации в области безопасного обращения с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отходами.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Государственная политика в Новосибирской области в области обращения с отходами производства и потребления занимает важное место в деятельности, направленной на охрану окружающей среды. Принимаются меры, направленные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совершенствование системы обращ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отходов в хозяйственный оборот в качестве дополнительных источников сырья.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Создание современной и безопасной среды для жизни, преображение городов и посе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лков Новосибирской области являю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тся одним из приоритетов Стратегии.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настоящее время осуществлен переход к новой системе обращения с твердыми коммунальными отходами (далее – ТКО),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соответствии с которой сбор, транспортировка, утилизация, обезвреживание, захоронение ТКО на территории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овосибирской области обеспечиваю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тся региональным оператором в соответствии с территориальной схемой обращения с отходами, в том числе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твердыми коммунальными отходами,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утвержденной постановлением Правительства Новосибирской области от 26.09.2016 № 292</w:t>
      </w:r>
      <w:r>
        <w:rPr>
          <w:rFonts w:ascii="Times New Roman" w:hAnsi="Times New Roman" w:cs="Times New Roman"/>
          <w:sz w:val="28"/>
          <w:szCs w:val="28"/>
          <w:highlight w:val="white"/>
        </w:rPr>
        <w:noBreakHyphen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 «Об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утверждении те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рриториальной схемы обращения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отходами, в том числе с твердыми коммунальными отходами, Новосибирской области».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Правила осуществления деятельности регионального оператора по обращению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твердыми коммунальными отходами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территории Новосибирской области установлены постановлением Правительства Новосибирской области от 11.05.2017 № 178</w:t>
      </w:r>
      <w:r>
        <w:rPr>
          <w:rFonts w:ascii="Times New Roman" w:hAnsi="Times New Roman" w:cs="Times New Roman"/>
          <w:sz w:val="28"/>
          <w:szCs w:val="28"/>
          <w:highlight w:val="white"/>
        </w:rPr>
        <w:noBreakHyphen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 «Об установлении правил осуществления деятельности регионального оператора по обращению с твердыми коммунальными отходами на территории Новосибирской области».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период с 01.01.2019 по 10.02.2023 услугу по обращению с ТКО на территории Новосибирской области предоставлял региональный оператор по обращению с ТКО – ООО «Экология-Новосибирск» на основании заключенного между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МЖКХиЭ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НСО и ООО «Экология-Новосибирск» соглашения об организации деятельности по обращению с ТКО на территории Новосибирской области от 25.07.2018.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МЖКХиЭ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НСО осуществлялось регулирование деятельности регионального оператора по обращению с ТКО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Отбор операторов по транспортированию ТКО осуществляется в соответствии с Правилами проведения торгов, по результатам которых формируются цены на услуги по транспортированию твердых коммунальных отходов для регионал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ьного оператора, утвержденными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остановлением Правительства Российской Федерации от 03.11.2016 № 1133 «Об утверждении Правил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проведения торгов, по результатам которых формируются цены на услуги по транспортированию твердых коммунальных отходов для регионального оператора» (далее – Постановление № 1133).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Торги проводятся в форме аукциона в электронной форме в порядке, установленном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 как услуга по транспортированию ТКО является аукционной процедурой, участниками могут быть организации с любой формой собственности.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2020 году объем транспортирования ТКО организациями частной формы собственности уменьшился, в связи с чем показатель развития конкуренции рынка услуг по сбору и транспортированию ТКО понизился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сравнению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плановым с 95,3% до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86,3%.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2021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годы проведены конкурсные процедуры по выбору операторов по транспортированию ТКО. Региональным оператором заключены договоры на транспортирование ТКО.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Показатель «Доля организаций частной формы собственности в сфере услуг по сбору и транспортированию ТКО» в 2021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годах составлял 80,4%.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Приказом министерства от 10.02.2023 № 6-НПА ООО «Экология-Новосибирск» лишено статуса регионального оператора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обращению с ТКО с 11.02.2023.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соответствии с приказом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МЖКХиЭ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10.02.2023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7-НПА «О присвоении статуса регионального оператора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обращению с твердыми коммунальными отходами на территории Новосибирской области» с 11.02.2023 статус регионального оператора по обращению с ТКО на территории Новосибирской области присвоен МУП г. Новосибирска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Спецавтохозяйство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сроком на 7 лет. В связи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заменой регионального оператора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обращению с ТКО произошло перезаключение договоров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оказание услуги по транспортированию ТКО, ввиду этого объем транспортирования ТКО организациями частной формы собственности уменьшился. Показатель «доля организаций частной формы собственности в сфере услуг по сбору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транспортированию ТКО» с 2023 года составляет до 50,2%.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годах региональным оператором проведены конкурсные процедуры по выбору операторов по транспортированию ТКО в соответствии с Постановлением № 1133.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связи с реорганизацией МУП г. Новосибирска «Спецавтохозяйство» с 28.12.2024 данное предприятие преобразовано в АО «Спецавтохозяйство».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неполный охват территории Новосибирской области деятельностью по сбору, вывозу, обработке, утилизации, обезвреживанию и размещению ТКО;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недостаточное количество у регионального оператора контейнеров для накопления ТКО;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неполнота сведений о контейнерных площадках, содержащихся в реестрах мест (площадок) накопления ТКО муниципальных образований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обеспечение охвата всех населенных пунктов Новосибирской области системой централизованного сбора, вывоза, обработки, утилизации, обезвреживания и размещения ТКО;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создание необходимой материально-технической базы для обеспечения сбора и транспортирования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ТКО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территории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 создание условий для увеличения объема транспортируемых ТКО организациями частной формы собственности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территории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14641" w:type="dxa"/>
        <w:jc w:val="center"/>
        <w:tblInd w:w="10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21"/>
        <w:gridCol w:w="1280"/>
        <w:gridCol w:w="1195"/>
        <w:gridCol w:w="1195"/>
        <w:gridCol w:w="1195"/>
        <w:gridCol w:w="1198"/>
        <w:gridCol w:w="1072"/>
        <w:gridCol w:w="1070"/>
        <w:gridCol w:w="1070"/>
        <w:gridCol w:w="1072"/>
        <w:gridCol w:w="1072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2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2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нности в сфере услуг по сбору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94,3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95,3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86,3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80,4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80,4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63,9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51,0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819" w:type="dxa"/>
        <w:jc w:val="center"/>
        <w:tblInd w:w="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33"/>
        <w:gridCol w:w="4440"/>
        <w:gridCol w:w="4062"/>
        <w:gridCol w:w="2613"/>
        <w:gridCol w:w="2871"/>
      </w:tblGrid>
      <w:tr>
        <w:tblPrEx/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81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44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06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1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87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10.3.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440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Создание равных условий для обеспечения конкуренции между участниками аукциона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062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доведение доли транспортных организаций, выполняющих транспортирование ТКО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до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планового значения.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 экономической эффективности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конкурентоспособности хозяйствующих субъектов на рынке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услуг по сбору и транспортированию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ТКО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87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региональный оператор по обращению с ТКО, 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10.3.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440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торгов на транспортирование ТКО на определенной территории в зоне деятельности регионального оператора с распределением 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анных услуг в отдельные лоты для привлечения большего количества организаций частной формы собственности. В целях формирования таких лотов территория, на которой региональный оператор обязан провести торги, разбивается не менее чем на три лота (территории)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062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доведение доли транспортных организаций, выполняющих транспортирование ТКО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до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планового значения.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 экономической эффективности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конкурентоспособности хозяйствующих субъектов на рынке услуг по сбору и транспортированию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ТКО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87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региональный оператор по обращению с ТКО, 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10.3.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440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  <w:t xml:space="preserve">Регулирование деятельности регионального оператора в соответствии с законодательством Российской Федерации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062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ответственн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ости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качества работы регионального оператора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87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11. Рынок выполнения работ по благоустройству городской среды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настоящее время в целях реализации федерального проекта «Формирование комфортной городской среды»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Новосибирской области реализуются подпрограмма «Благоустройство территорий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населенных пунктов»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от 16.02.2015 № 66-п «Об утверждении государственной программы Ново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сибирской области «Жилищно-коммунальное хозяйство Новосибирской области» (далее – подпрограмма) и муниципальные программы формирования современной городской среды. Общий объем финансирования подпрограммы за счет всех источников финансирования составляет 10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676,4 тыс. рублей.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результате реализации Стратегии планируется улучшение содержания объектов благоустройства, зеленых насаждений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целом внешнего облика населенных пунктов муниципальных образований Новосибирской области, в том числе за счет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обустройства дворовых территорий многоквартирных домов, благоустройства общественных пространств, ввода площадей обустроенных зон отдыха, спортивных и детских площадок на территориях населенных пунктов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Отбор организаций, осуществляющих мероприятия по благоустройству городской среды, осуществляется в соответствии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Федеральным законом от 18.07.2011 № 223-ФЗ «О закупках товаров, работ, услуг отдельными видами юридических лиц».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отсутствие качественного проектирования территорий, подлежащих благоустройству;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несоответствие качества выполняемых подрядными организациями работ утвержденным стандартам;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затягивание сроков исполнения контрактов подрядными организациями;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низкая оснащенность муниципальных учреждений и предприятий, осуществляющих деятельность в сфере благоустройства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содержания территорий, специализированной техникой.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содействие развитию конкуренции на рынке выполнения работ по благоустройству городской среды;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создание качественно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 и комфортной городской среды;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уровня благоуст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ройства озелененных территорий;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благоустройство улиц и общественных пространств;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заинтересованности инвесторов;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увеличение объема выручки организаций частной формы собственности.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развитие рынка выполнения работ по благоустройству городской среды.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14641" w:type="dxa"/>
        <w:jc w:val="center"/>
        <w:tblInd w:w="106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29" w:type="dxa"/>
          <w:top w:w="47" w:type="dxa"/>
          <w:right w:w="29" w:type="dxa"/>
          <w:bottom w:w="47" w:type="dxa"/>
        </w:tblCellMar>
        <w:tblLook w:val="0000" w:firstRow="0" w:lastRow="0" w:firstColumn="0" w:lastColumn="0" w:noHBand="0" w:noVBand="0"/>
      </w:tblPr>
      <w:tblGrid>
        <w:gridCol w:w="3227"/>
        <w:gridCol w:w="1225"/>
        <w:gridCol w:w="1137"/>
        <w:gridCol w:w="1137"/>
        <w:gridCol w:w="1137"/>
        <w:gridCol w:w="1134"/>
        <w:gridCol w:w="1132"/>
        <w:gridCol w:w="1129"/>
        <w:gridCol w:w="1129"/>
        <w:gridCol w:w="1127"/>
        <w:gridCol w:w="1127"/>
      </w:tblGrid>
      <w:tr>
        <w:tblPrEx/>
        <w:trPr>
          <w:jc w:val="center"/>
        </w:trPr>
        <w:tc>
          <w:tcPr>
            <w:gridSpan w:val="11"/>
            <w:tcMar>
              <w:left w:w="57" w:type="dxa"/>
              <w:top w:w="57" w:type="dxa"/>
              <w:right w:w="57" w:type="dxa"/>
              <w:bottom w:w="57" w:type="dxa"/>
            </w:tcMar>
            <w:tcW w:w="14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сти в сфере выполнения работ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благоустройству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93,8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93,8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96,5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96,5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96,5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96,5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96,5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ind w:left="0"/>
        <w:jc w:val="center"/>
        <w:spacing w:after="0" w:line="240" w:lineRule="auto"/>
        <w:tabs>
          <w:tab w:val="left" w:pos="4070" w:leader="none"/>
          <w:tab w:val="center" w:pos="764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694" w:type="dxa"/>
        <w:jc w:val="center"/>
        <w:tblInd w:w="101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000" w:firstRow="0" w:lastRow="0" w:firstColumn="0" w:lastColumn="0" w:noHBand="0" w:noVBand="0"/>
      </w:tblPr>
      <w:tblGrid>
        <w:gridCol w:w="771"/>
        <w:gridCol w:w="4902"/>
        <w:gridCol w:w="3769"/>
        <w:gridCol w:w="2529"/>
        <w:gridCol w:w="2717"/>
        <w:gridCol w:w="6"/>
      </w:tblGrid>
      <w:tr>
        <w:tblPrEx/>
        <w:trPr>
          <w:jc w:val="center"/>
        </w:trPr>
        <w:tc>
          <w:tcPr>
            <w:gridSpan w:val="6"/>
            <w:tcW w:w="1469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tabs>
                <w:tab w:val="left" w:pos="4070" w:leader="none"/>
                <w:tab w:val="center" w:pos="7645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90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76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2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71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9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Создание универсальных механизмов вовлечения организа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ций в реализацию мероприятий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благоустройству территорий муниципальных образований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76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 экономической эффективности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конкурентоспособности хозяйствующих субъектов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71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9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и проведение конкурсных процедур, направленных на определение исполнителей мероприятий по благоустройству территорий муниципальных образований в соответствии с едиными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76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экономической эффе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ктивности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конкурентоспособности хозяйствующих субъектов.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Доведение доли подрядных организаций, выполняющих работы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 95% ежегодно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71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12. Рынок выполнения работ по содержанию и текущему ремонту общего имущества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12.1. Исходная фактическая информация в отношении ситуации и проблематики на рынке,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конкуренции на рынке выполнения работ по содержанию и текущему ремонту общего имущества собственников помещений в многоквартирном доме осуществляется по двум направлениям: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управление жилищным фондом (через заключение договора на управление с собственником);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оказание услуг, выполнение работ (через заключение договора на оказан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ие жилищно-коммунальных услуг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управляющей организацией).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настоящее время на территории Новосибирской области деятельность по управлению многоквартирными домами имеют право осуществлять 365 лицензиатов, из них выдано лицензий: муниц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ипальным унитарным предприятиям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23, организациям час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тной формы собственности – 342.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Всего выданных лицензий за весь период лицензирования – 408, из них по 27 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ицензиям действие прекращено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заявлению лицензиатов, 16 лицензий аннулированы по решению суда.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действующих лицензиатов 32 лицензиата фактически не осуществляют управление (отсутствуют многоквартирные дома в реестре лицензий на осуществление предпринимательской деятельности по управлению многоквартирными домами на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территории Новосибирской области).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о хо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зяйствующих субъектах, действующих на рынке, содержится в реестре лицензий на осуществление предпринимательской деятельности по управлению многоквартирными домами на территории Новосибирской области, представленном на сайте государственной жилищной инспекц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ии Новосибирской области (далее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ГЖИ НСО).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96"/>
        <w:ind w:firstLine="709"/>
        <w:jc w:val="both"/>
        <w:spacing w:before="0" w:after="0" w:line="240" w:lineRule="auto"/>
        <w:shd w:val="clear" w:color="auto" w:fill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рынке стабильно работают как крупные, обслуживающие до нескольких сот</w:t>
      </w:r>
      <w:r>
        <w:rPr>
          <w:sz w:val="28"/>
          <w:szCs w:val="28"/>
          <w:highlight w:val="white"/>
        </w:rPr>
        <w:t xml:space="preserve">ен многоквартирных домов, так и </w:t>
      </w:r>
      <w:r>
        <w:rPr>
          <w:sz w:val="28"/>
          <w:szCs w:val="28"/>
          <w:highlight w:val="white"/>
        </w:rPr>
        <w:t xml:space="preserve">мелкие управляющие организации и ТСЖ (ЖК, ЖСК), управляющие несколькими или одним домом.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6"/>
        <w:ind w:firstLine="709"/>
        <w:jc w:val="both"/>
        <w:spacing w:before="0" w:after="0" w:line="240" w:lineRule="auto"/>
        <w:shd w:val="clear" w:color="auto" w:fill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Из 365 управляющих компаний наиболее крупными являются: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6"/>
        <w:ind w:firstLine="709"/>
        <w:jc w:val="both"/>
        <w:spacing w:before="0" w:after="0" w:line="240" w:lineRule="auto"/>
        <w:shd w:val="clear" w:color="auto" w:fill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ЗАО «УК «СПАС-Дом», в управлении которого находится 2,3 млн кв. м жилищного фонда;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6"/>
        <w:ind w:firstLine="709"/>
        <w:jc w:val="both"/>
        <w:spacing w:before="0" w:after="0" w:line="240" w:lineRule="auto"/>
        <w:shd w:val="clear" w:color="auto" w:fill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АО «МКС-Новосибирск» – 2,0 млн кв. 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6"/>
        <w:ind w:firstLine="709"/>
        <w:jc w:val="both"/>
        <w:spacing w:before="0" w:after="0" w:line="240" w:lineRule="auto"/>
        <w:shd w:val="clear" w:color="auto" w:fill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ООО «Служба заказчика по ЖКХ Ленинского района» – 1,8 млн кв. 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6"/>
        <w:ind w:firstLine="709"/>
        <w:jc w:val="both"/>
        <w:spacing w:before="0" w:after="0" w:line="240" w:lineRule="auto"/>
        <w:shd w:val="clear" w:color="auto" w:fill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ООО «УКЭЖ «Сибирск</w:t>
      </w:r>
      <w:r>
        <w:rPr>
          <w:sz w:val="28"/>
          <w:szCs w:val="28"/>
          <w:highlight w:val="white"/>
        </w:rPr>
        <w:t xml:space="preserve">ая инициатива» – 1,5 млн кв. 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6"/>
        <w:ind w:firstLine="709"/>
        <w:jc w:val="both"/>
        <w:spacing w:before="0" w:after="0" w:line="240" w:lineRule="auto"/>
        <w:shd w:val="clear" w:color="auto" w:fill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Проблемы: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6"/>
        <w:ind w:firstLine="709"/>
        <w:jc w:val="both"/>
        <w:spacing w:before="0" w:after="0" w:line="240" w:lineRule="auto"/>
        <w:shd w:val="clear" w:color="auto" w:fill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ограниченность спроса на услуги управления многоквартирными домами;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6"/>
        <w:ind w:firstLine="709"/>
        <w:jc w:val="both"/>
        <w:spacing w:before="0" w:after="0" w:line="240" w:lineRule="auto"/>
        <w:shd w:val="clear" w:color="auto" w:fill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сложности перехода от старых участников рынка, с которым сложились долгосрочные</w:t>
      </w:r>
      <w:r>
        <w:rPr>
          <w:sz w:val="28"/>
          <w:szCs w:val="28"/>
          <w:highlight w:val="white"/>
        </w:rPr>
        <w:t xml:space="preserve"> отношения, к новым участникам;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отсутствие организаций, желающих осуществлять управление многоквартирными домами в сельских поселениях, при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проведении органами местного самоуправления конкурсов по отбору управляющей организации для управления многоквартирным домом в предусмотренных действу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ющим законодательством случаях;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непривлекательность жилищного фонда вследствие его неудовлетворительного технического состояния;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низкая платежеспособность собственников, а зачастую их нежелание принимать экономически обоснованные тарифы.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содействие развитию конкуренции на рынке выполнения работ по содержанию и текущему ремонту общего имущества собственников помещений в многоквартирном доме;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 xml:space="preserve">повышение качества оказания услуг на рынке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выполнения работ по содержанию и текущему ремонту общего имущества собственников помещений в многоквартирном доме.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69"/>
        <w:gridCol w:w="1281"/>
        <w:gridCol w:w="1199"/>
        <w:gridCol w:w="1199"/>
        <w:gridCol w:w="1199"/>
        <w:gridCol w:w="1202"/>
        <w:gridCol w:w="1092"/>
        <w:gridCol w:w="1094"/>
        <w:gridCol w:w="1094"/>
        <w:gridCol w:w="1092"/>
        <w:gridCol w:w="1092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92,9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94,5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97,8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97,8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819" w:type="dxa"/>
        <w:jc w:val="center"/>
        <w:tblInd w:w="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33"/>
        <w:gridCol w:w="4949"/>
        <w:gridCol w:w="3188"/>
        <w:gridCol w:w="2924"/>
        <w:gridCol w:w="2924"/>
      </w:tblGrid>
      <w:tr>
        <w:tblPrEx/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81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94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8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2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2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9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Снижение количества нарушений антимонопольного законодательс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тва при проведении конкурсов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отбору управляющей организации, предусмотренных Жилищным кодексом Российской Федерации и Правилами проведения органом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правления открытого конкурса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отбору управляющей организации для управления многок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вартирным домом, утвержденными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остановлением Правительства Российской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Федерации от 06.02.2006 № 75 «О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порядке проведения органом местного самоуправления открытого конкурса по отб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ору управляющей организации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управления многоквартирным домом»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88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NewRomanPSMT" w:cs="Times New Roman"/>
                <w:sz w:val="24"/>
                <w:szCs w:val="24"/>
                <w:highlight w:val="white"/>
              </w:rPr>
              <w:t xml:space="preserve">обеспечение для 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  <w:highlight w:val="white"/>
              </w:rPr>
              <w:t xml:space="preserve">хозяйствующих субъектов всех форм собственности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  <w:highlight w:val="white"/>
              </w:rPr>
              <w:t xml:space="preserve"> равных условий деятельности на 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  <w:highlight w:val="white"/>
              </w:rPr>
              <w:t xml:space="preserve">рынке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управления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3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94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Ведение реестра лицензий на осуществление предпринимательской деятельности по управлению многоквартирными домами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88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доступа субъектов предпринимательства к информации о состоянии рынка в сфере управления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2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ГЖИ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94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Ежегодное формирован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ие перечня субъектов предпринимательства, деятельность которых отнесена к определенной категории риска. Размещение информации о субъектах предпринимательства, деятельность которых отнесена к категориям высокого и значительного рисков,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ГЖИ 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88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доступа субъектов предпринимательства к информации о состоянии рынка в сфере управления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2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ГЖИ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12.3.4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94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и проведение информационно-разъяснительной работы по применению норм жилищного законодательства к участникам рынка управления многоквартирными домами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88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равных условий для повышения правовой грамотности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убъектов предпринимательства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сфере управления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2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ГЖИ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12.3.5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94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Размещение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системе ГИС ЖКХ информации 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результатах проведенных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ГЖИ НСО проверок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отнош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ении управляющих организаций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управлению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88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степени прозрачности деятельности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убъектов предпринимательства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сфере управления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2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ГЖИ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12.3.6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9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ГЖИ НСО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горячей телефонной линии, 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также электронной формы обра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тной связи в сети «Интернет» (с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возможностью прикрепления файлов фото- и видеосъемки)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88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оперативное рассмотрение поступивших в адрес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ГЖИ 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обращений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92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ГЖИ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13. Рынок поставки сжиженного газа в баллонах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Новосибирской области в качестве коммунальной услуги для нужд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пищеприготовления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подогрева воды и отопления населением активно используется сжиженный углеводородный газ. Основные потребители сжиженного углеводородного газа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население, преимущественно проживающее в сельской местности, где отсутствует природный газ, а также пенсионеры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многодетные семьи.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Постановлением Правительства Российской Федерации от 06.05.2011 № 354 «О предоставлении ком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мунальных услуг собственникам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пользователям помещений в многоквартирных домах и жилых домов»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утверждены Правила предоставления коммунальных услуг собственникам и пользователям помещений в многоквартирных домах и жилых домов, которые не применяются к отношениям, которые возникают при поставке газа для обеспечения коммунально-бытовых нужд граждан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регулирование которых осуществляется в соответствии с Правилами поставки газа для обеспечения коммунально-бытовых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ужд граждан, утвержденными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остановлением Правительства Российской Федерации от 21.07.2008 № 549, а именно продаже подлежат наполненные сжиженным углеводородным газом баллоны, прошедшие предварительное техническое освидетельствование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находящиеся в исправном состоянии, срок службы которых не истек. Потребитель до момента передачи ему продавцом газовых баллонов (или одновременно с ним) обязан передать на обмен равное количество порожних газовых баллонов, находящихся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исправном состоянии, срок службы которых не истек.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соответствии с постановлением администрации Новосибирской области от 09.10.2007 № 125-па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«Об утверждении региональной газораспределительной организации по Новосибирской области, уполномоченной реализовывать сжиженный углеводородный газ для бытовых нужд»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ООО 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Новосибирскоблгаз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 является региональной газораспределительной организацией по Новосибирской области, уполномоченной реализовывать сжиженный углеводородный газ для бытовых нужд населения.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Рынок поставки сжиженного газа в баллонах новых хозяйствующих субъектов характеризуется высоким уровнем концентрации и неразвитой конкуренцией.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Для осуществления своей деятельности ООО 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Новосибирскоблгаз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 имеет аварийно-диспетчерские и ремонтно-эксплуатационные участки, две газонаполнительные станции в г. Новосибирске и г. Карасуке, один газонаполнительный пункт в г. Татарске, специализированный транспорт для перевозки сжиженного углеводородного газа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автоцистернах и баллонах, оборудованный в соответствии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 требованиями безопасности.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газонаполнительных станциях осуществляется полный комплекс работ по техническому обслуживанию и ремонту баллонов.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Количество квартир (домов) с потреблением сжиженного газа в 2017 году составило 204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595, в 2018 году – 109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519, в 2019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году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– 110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628.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Проблемы: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низкий уровень работы организации, осуществляющей газоснабжение;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высокая стоимость услуг газоснабжения.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Причинами, снижающими удовлетворенность населения организацией газоснабжения, являются, по мнению респондентов, низкий уровень работы организации, осуществляющей газоснабжение (уровень удовлетворенности в 2017 году – 35,22%,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2016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году – 28,53%), а также высокая стоимость услуг газоснабжен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ия (уровень удовлетворенности в 2017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году – 28,6%,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2016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году – 47,67%).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организации газоснабжения бытовым сжиженным углеводородным газом.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Цель: развитие рынка поста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вки сжиженного газа в баллонах.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82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tbl>
      <w:tblPr>
        <w:tblW w:w="14682" w:type="dxa"/>
        <w:jc w:val="center"/>
        <w:tblInd w:w="1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16"/>
        <w:gridCol w:w="1332"/>
        <w:gridCol w:w="627"/>
        <w:gridCol w:w="550"/>
        <w:gridCol w:w="1189"/>
        <w:gridCol w:w="1189"/>
        <w:gridCol w:w="438"/>
        <w:gridCol w:w="738"/>
        <w:gridCol w:w="1068"/>
        <w:gridCol w:w="670"/>
        <w:gridCol w:w="457"/>
        <w:gridCol w:w="1227"/>
        <w:gridCol w:w="760"/>
        <w:gridCol w:w="379"/>
        <w:gridCol w:w="1118"/>
        <w:gridCol w:w="124"/>
      </w:tblGrid>
      <w:tr>
        <w:tblPrEx/>
        <w:trPr>
          <w:jc w:val="center"/>
        </w:trPr>
        <w:tc>
          <w:tcPr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3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поставки сжиженного газа в баллонах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3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jc w:val="center"/>
        </w:trPr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top w:w="57" w:type="dxa"/>
              <w:bottom w:w="57" w:type="dxa"/>
            </w:tcMar>
            <w:tcW w:w="1306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497" w:type="dxa"/>
            <w:textDirection w:val="lrTb"/>
            <w:noWrap w:val="false"/>
          </w:tcPr>
          <w:p>
            <w:pPr>
              <w:pStyle w:val="98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jc w:val="center"/>
        </w:trPr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55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77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6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7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94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775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Ежегодный анализ данных о количестве квартир (домов), потребляющих сжиженный газ газораспределительной организаци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уполномоченной на поставку сжиженного газа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65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данных по абонентам – потребителям сжиженного газа.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Размещение информации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официальном сайте уполномоченного органа власти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47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94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14. Рынок купли-продажи электрической энергии (мощности) на розничном рынке электрической энергии (мощности)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Электроэнергетика относится к важнейшим инфраструктурным отраслям экономики. Ее устойчивое и эффективное функционирование является необходимым условием экономического роста.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Правовые основы функционирования розничных рынков электрической энергии установлены Основными положениями функционирования розничных рын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ков электрической энергии, утвержденными Постановлением Правительства Российской Федерации от 04.05.2012 № 442 «О функционировании розничных рынков электрической энергии, полном и (или) частичном ограничении режима потребления электрической энергии» (далее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положения).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Федеральным законом от 26.03.2003 № 35-ФЗ «Об электроэнергетике» электрическая энергия (нерегулируемая составляющая) с 01.01.2011 определяется конъюнктурой оптового рынка электрической энергии (мощности)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учетом существующего спроса и предложения и не подлежит государственному регулированию.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Новосибирской области в сфере розничной купли-продажи электрической энергии (мощности) осуществляют деятельность АО 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Новосибирскэнергосбыт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и ООО «Генерация Сибири».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АО 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Новосибирскэнергосбыт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является единственным гарантирующим поставщиком электрический энергии на всей территории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Правила деятельности гарантирующих поставщиков установлены Основными положениями.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Статус гарантирующего поставщика утверждает департамент по тарифам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ООО «Генерация Сибири» осуществляет куплю-продажу электрической энергии только для своих потребителей (г. Новосибирск, микрорайон «Березовый»). Доля ООО «Генерация Сибири» в товарном рынке составляет 0,2%.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Таким образом, розничный рынок электрической энергии (мощности) в Новосибирской области характеризуется высоким уровнем концентрации и неразвитой конкуренцией.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2019 году в министерство жилищно-коммунального хозяйства и энергетики Новосибирской области на утверждение поступил проект инвестиционной программы, которая разработана с целью исполнения требований Федера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льного закона от 27.12.2018 № 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Федерации», в соответствии с которым с 01.07.2020 обязанности 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установку, эксплуатацию, поверку и замену приборов учета электрической энергии (мощности) перенесены с потребителей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поставщиков энергоресурсов: в отношении многоквартирных домов – на гарантирующих поставщиков, а в отношении прочих потребителей – на сетевые организации;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оценке департамента по тарифам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утверждение данной инвестиционной программы приведет 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росту тарифа на передачу электрической энергии для прочих потребителей, в том числе для коммунальных предприятий.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03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Задачи: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качества обслуживания клиентов в части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контроля выполнения договоров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энергоснабжения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качества оказываемых услуг по договорам энергоснабжения.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обеспечение надежного и эффективного энергоснабжения на территории Новосибирской области;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развитие рынка купли-продажи электрической энергии (мощности) на розничном рынке электрической энергии (мощности).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86"/>
        <w:gridCol w:w="1281"/>
        <w:gridCol w:w="1204"/>
        <w:gridCol w:w="1204"/>
        <w:gridCol w:w="1204"/>
        <w:gridCol w:w="1206"/>
        <w:gridCol w:w="1093"/>
        <w:gridCol w:w="1084"/>
        <w:gridCol w:w="1082"/>
        <w:gridCol w:w="1084"/>
        <w:gridCol w:w="1084"/>
      </w:tblGrid>
      <w:tr>
        <w:tblPrEx/>
        <w:trPr>
          <w:jc w:val="center"/>
          <w:trHeight w:val="20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купли-продажи элек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трической энергии (мощности)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розничном рынке электрической энергии (мощности)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925" w:type="dxa"/>
        <w:jc w:val="center"/>
        <w:tblInd w:w="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13" w:type="dxa"/>
          <w:right w:w="62" w:type="dxa"/>
          <w:bottom w:w="113" w:type="dxa"/>
        </w:tblCellMar>
        <w:tblLook w:val="04A0" w:firstRow="1" w:lastRow="0" w:firstColumn="1" w:lastColumn="0" w:noHBand="0" w:noVBand="1"/>
      </w:tblPr>
      <w:tblGrid>
        <w:gridCol w:w="744"/>
        <w:gridCol w:w="5034"/>
        <w:gridCol w:w="4351"/>
        <w:gridCol w:w="2287"/>
        <w:gridCol w:w="2510"/>
      </w:tblGrid>
      <w:tr>
        <w:tblPrEx/>
        <w:trPr>
          <w:jc w:val="center"/>
          <w:trHeight w:val="2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92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03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35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28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1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034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Ежегодный мониторинг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состояния конкуренции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рынке розничной купли-продажи электроэнергии (мощности) в ценовых и неценовых зонах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35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сохранение уровня присутствия организаций частной формы собственности на рынке розничной купли-продажи электроэнергии (мощности) в ценовых и неценовых зонах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28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1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жилищно-коммунального хозяйства 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034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Утверждение инвестиционных программ сбытовых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35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возможности субъекту электроэнергетики реализовывать мероприятия в своей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сфере (в частности,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АО 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Новосибирскэнергосбыт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установка приборов учета)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(при наличии заявок)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15. 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когенерации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направления развития энергетики Новосибирской области на долгосрочный период определены на основании «Энергетической стратегии России до 2050 года», утвержденной распоряжением Правительства Российской Федерации от 12.04.2025 № 908-р «Об утверждении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Энергетической стратегии Российской Федерации на период до 2050 года», а также в рамках реализации инвестиционных программ субъектов электроэнергетики, осуществляющих свою деятельность на территории Новосибирской области. Инвестиционные программы содержат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мероприятия по строительству и реконструкции объектов электросетевого хозяйства и ежегодно согласовываются/утверждаются министерством жилищно-коммунального хозяйства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Основное производство электрической энергии на территории Новосибирской области осуществляется крупнейшими организациями, относящимися к сфере естественных монополий, такими как Новосибирский филиал ООО «Сиб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ирская Генерирующая Компания» (н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овосибирские ТЭЦ и Барабинская ТЭЦ), Филиал ПАО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РусГидро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«Новосибирская ГЭС».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итогам 2019 года общая выработка электрической энергии составила 13,2 млрд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кВтч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 этом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овосибирские ТЭЦ выработали 11,2 млрд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кВтч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электрической энергии,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Новосибирская ГЭС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2,0 млрд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кВтч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Вся выработка электроэнергии реализуется на оптовом рынке.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розничном рынке производство электрической энергии в режиме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когенерации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осуществляет ООО «Генерация Сибири». Выработка электрической энергии ООО «Генерация Сибири» – 27,0 млн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кВтч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настоящее время федеральными нормативными правовыми актами сформированы все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необходимые условия для конкурентного вхождения на рынок. Хозяйствующие субъекты, исходя из существующих экономических условий, имеют возможность развивать собственную генерацию и самостоятельно обеспечивать собственные потребности в электрической энергии.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старение оборудования тепловых станций и ограничение по использ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ованию мощности (практически всё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оборудование ТЭЦ</w:t>
      </w:r>
      <w:r>
        <w:rPr>
          <w:rFonts w:ascii="Times New Roman" w:hAnsi="Times New Roman" w:cs="Times New Roman"/>
          <w:sz w:val="28"/>
          <w:szCs w:val="28"/>
          <w:highlight w:val="white"/>
        </w:rPr>
        <w:noBreakHyphen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2, ТЭЦ-3, ТЭЦ-4 и Барабинской ТЭЦ было включено в работу в период с 1942 года по 1974 год. Износ оборудования ТЭЦ составляет от 45% до 59%).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содействие развитию рынка производства электрической энергии (мощности);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надежное безаварийное функционирование генерирующего оборудования тепловых и гидроэлектростанций.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устойчивое развитие рынка производства электрической энергии (мощности) на базе новых современных технологий, в том числе энергосберегающих.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14641" w:type="dxa"/>
        <w:jc w:val="center"/>
        <w:tblInd w:w="10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98"/>
        <w:gridCol w:w="1281"/>
        <w:gridCol w:w="1205"/>
        <w:gridCol w:w="1205"/>
        <w:gridCol w:w="1205"/>
        <w:gridCol w:w="1208"/>
        <w:gridCol w:w="1069"/>
        <w:gridCol w:w="1069"/>
        <w:gridCol w:w="1067"/>
        <w:gridCol w:w="1067"/>
        <w:gridCol w:w="1067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производства электрической энергии (мощности) 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розничном рынке электрической энергии (мощности), включая производство электрической энергии (мощности) в режиме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когенерации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765" w:type="dxa"/>
        <w:jc w:val="center"/>
        <w:tblInd w:w="9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06"/>
        <w:gridCol w:w="5201"/>
        <w:gridCol w:w="3556"/>
        <w:gridCol w:w="2601"/>
        <w:gridCol w:w="2601"/>
      </w:tblGrid>
      <w:tr>
        <w:tblPrEx/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6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20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5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0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0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20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Ежегодный мони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торинг состояния конкуренции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розничном рынке производства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56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сохранение уровня присутствия организаций частной формы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собственности на розничном рынке производства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0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0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жилищно-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20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Мониторинг хода подготовки ТЭЦ и ГЭС к осенне-зимнему периоду (далее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ОЗП) (мероприятия по  подготовке к ОЗП разрабатывают непосредственно сами организации, а готовность к прохождению ОЗП оценивает Минэнерго России)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56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бесперебойное и безопасное электроснабжение потребителей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20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Мониторинг и анализ аварийных ситуаций с рассмотрением данного вопроса на заседании регионального штаба по обеспечению безопасности электроснабжения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бесперебойное и безопасное электроснабжение потребителей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15.3.4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20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Мониторинг запасов топлива на ТЭЦ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бесперебойное и безопасное электроснабжение потребителей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right="36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16. Рынок оказания услуг по перевозке пассажиров автомобильным транспортом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right="36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Транспортное обслуживание пассажиров в Новосибирской области осуществляется на территории 35 муниципальных образован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ий (5 городских округов и 30 муниципальных районов).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Оказание услуг по перевозке пассажиров автомобильным транспортом по муниципальным маршрутам регулярных перевозок осуществляется по двум направлениям: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муниципальным (городским) маршрутам городских округов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муниципальным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внутрипоселковым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внутрирайонным) маршрутам муниципальных районов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целях организации транспортного обслуживания населения на подведомственной территории муниципальными образованиями муниципальных районов и городских округов Новосибирской области приняты муниципальные программы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создании условий для организации транспортного обслуживания населения.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целью максимального привлечения перевозчиков частного бизнеса и повышения уровня качества предоставляемых ус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луг при перевозке пассажиров проводятся конкурсные процедуры, по результатам которых заключаются договоры или выдаются свидетельства на осуществление регулярных перевозок пассажиров автомобильным транспортом по муниципальным маршрутам регулярных перевозок.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Расписания движения автомобильного транспорта по муниципальным маршрутам регулярных перевозок размещены в сети «Интернет» и в приложениях для мобильных устройств.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настоящее время в целях совершенствования системы организации контроля и управления на пассажирском транспорте городских округов и муниципальных районов Новосибирской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области задействована автоматизированная система контроля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использованием спутниковой навигации (ГЛОНАСС/GPS) в рамках Региональной навигационно-информационной системы Новосибирской области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РНИС НСО). Данная система позволяет осуществлять контроль за регулярностью транспортного сообщения, что позволяет повысить уровень транспортного обслуживания населения.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целом объем перевозок пассажиров автомобильным транспортом по муниципальным маршрутам регулярных перевозок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Новосибирской области составил 303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867,3 тыс. пассажиров, в том числе: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муниципальным транспортом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783,2 тыс. пасса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жиров (по городским округам Новосибирской области – 18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601,7 тыс. пассажиров, по муниципальным районам Новосибирской области – 13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181,5 тыс. пассажиров);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немуниципальным транспортом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272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084,1 тыс. пассажиров (по городским округам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266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969,1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пассажиров, по муниципальным районам Новосибирской области – 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115 тыс. пассажиров).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Фактический показатель доли присутствия частного бизнеса по муниципальным маршрутам муниципальных районов Новосибирской области составляет 28%. Данное значение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казателя свидетельствует о том, что в сельской местности пассажирские перевозки осуществляются, как правило, единственным (базовым) автотранспортным предприятием. Данные предприятия осуществляют комплексное транспортное обслуживание населения всего района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как на экономически рентабельных внутрирайонных маршрутах, так и на нерентабельных (убыточных) в целом. При проведении конкурсных отборов победителями становятся районные автотранспортные предприятия различных форм собственности. При этом собственные доход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 предприятия от перевозки пассажиров сокращаются из-за отсутствия стабильного пассажиропотока в сельской местности, постоянно растущей стоимости топлива, запасных частей, вследствие чего рынок сельских пассажирских перевозок по муниципальным маршрутам для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подавляющего числа перевозчиков частной формы собственности малопривлекателен.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Общей проблемой пассажирского транспорта является высокий износ автобусов и недостаточность средств у перевозчиков для его своевременного обновления.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Коэффициент износа автобусов, задействованных на муниципальных маршрутах городских округов Новосибирской области, составляет 0,78%.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Коэффициент износа автобусов, задействованных на муниципальных маршрутах муниципальных районов Новосибирской области, составляет 0,73%.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Министерством транспорта и дорожного хозяйства Новосибирской области заключено с перевозчиками 38 соглашений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предоставлении субсидий в целях возмещения части затрат на приобретение автобусов. За счет предоставленн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ых субсидий перевозчикам было возмещено 30% от фактической стоимости приобретенных автобусов в количестве 59 единиц, в том числе 29 автобусов для работы на муниципальных маршрутах регулярных перевозок в границах муниципальных районов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Новосибирской области действует государственная програ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мма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области», утвержденная постановлением Правительства Новосибирской области от 24.02.2014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 населения Новосибирской области» (далее – государственная программа).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Государственной программой предусмотрено решение задач по обеспечению доступ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ности услуг пассажирского транспорта для населения, содействию обновлению (модернизации) подвижного состава общественного пассажирского транспорта, осуществляющего пассажирские перевозки на муниципальных и межмуниципальных маршрутах регулярных перевозок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регулируемым тарифам.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Задача: содействие развитию конкуренции на рынке услуг перевозок пассажиров автомобильным транспортом по муниципальным маршрутам регулярных перевозок.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развитие конкуренции на рынке услуг перевозок пассажиров автомобильным транспортом по муниципальным маршрутам регулярных перевозок.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854" w:type="dxa"/>
        <w:jc w:val="center"/>
        <w:tblInd w:w="8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08"/>
        <w:gridCol w:w="1281"/>
        <w:gridCol w:w="1201"/>
        <w:gridCol w:w="1201"/>
        <w:gridCol w:w="1201"/>
        <w:gridCol w:w="1201"/>
        <w:gridCol w:w="1094"/>
        <w:gridCol w:w="1104"/>
        <w:gridCol w:w="1087"/>
        <w:gridCol w:w="1087"/>
        <w:gridCol w:w="1087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0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услуг (работ) по перевозке пассажиров автомобильным транспортом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 муниципальным маршрутам регулярных перевозок, оказанных (выполненных) организациями частной формы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89,5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89,5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91,3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91,3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91,3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89,5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5049" w:type="pct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0"/>
        <w:gridCol w:w="5618"/>
        <w:gridCol w:w="3374"/>
        <w:gridCol w:w="2430"/>
        <w:gridCol w:w="17"/>
        <w:gridCol w:w="2422"/>
      </w:tblGrid>
      <w:tr>
        <w:tblPrEx/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8" w:type="dxa"/>
            <w:textDirection w:val="lrTb"/>
            <w:noWrap w:val="false"/>
          </w:tcPr>
          <w:p>
            <w:pPr>
              <w:pStyle w:val="801"/>
              <w:jc w:val="both"/>
              <w:spacing w:before="0" w:line="240" w:lineRule="auto"/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highlight w:val="white"/>
              </w:rPr>
              <w:t xml:space="preserve">Размещение информации о критериях конкурсного отбора перевозчиков в открытом доступе в сети «Интернет» с целью обеспечения максимальной доступности информации и прозрачности условий работы на рынке 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  <w:t xml:space="preserve">оказания услуг по перевозке пассажиров автомобильным транспортом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highlight w:val="white"/>
              </w:rPr>
              <w:t xml:space="preserve">по 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highlight w:val="white"/>
              </w:rPr>
              <w:t xml:space="preserve">муниципальным маршрутам регулярных перевозок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4" w:type="dxa"/>
            <w:textDirection w:val="lrTb"/>
            <w:noWrap w:val="false"/>
          </w:tcPr>
          <w:p>
            <w:pPr>
              <w:pStyle w:val="801"/>
              <w:jc w:val="both"/>
              <w:spacing w:before="0" w:line="240" w:lineRule="auto"/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  <w:t xml:space="preserve">обеспечение максим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  <w:t xml:space="preserve">альной доступности информации и 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  <w:t xml:space="preserve">прозрачности условий ра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  <w:t xml:space="preserve">боты на рынке оказания услуг по 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  <w:t xml:space="preserve">перевозке пассажиров автомобильным транспортом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муниципальным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маршрутам регулярных перевозок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8" w:type="dxa"/>
            <w:textDirection w:val="lrTb"/>
            <w:noWrap w:val="false"/>
          </w:tcPr>
          <w:p>
            <w:pPr>
              <w:pStyle w:val="988"/>
              <w:jc w:val="both"/>
              <w:rPr>
                <w:rFonts w:ascii="Times New Roman" w:hAnsi="Times New Roman" w:cs="Times New Roman"/>
                <w:bCs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  <w:t xml:space="preserve">Формирование сети регулярных маршрутов с учетом предложений, изложенных в обращениях негосударственных перевозчиков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4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highlight w:val="white"/>
                <w:lang w:eastAsia="en-US"/>
              </w:rPr>
              <w:t xml:space="preserve">увеличение количества перевозчиков негосударственной формы собственности, наличие сети регулярных маршрутов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Мониторинг пассажиропотока и оптимизация маршрутной автобусной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сети в муниципальных, городских округах и муниципальных районах Новосибирской области,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планирование регулярных перевозок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 с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учетом полученной информации по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результатам мониторинга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выявление автобусных маршрутов, степень транспортной нагрузки которых превышает общую вместимость автобусов, работающих на маршруте.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Оптимизация маршрутной автобусной сети с учетом корректировки количества рейсов по расписанию и вместимости подвижного состава,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задействованного на маршрутах.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уровня транспортных потребностей населения провозными возможностями пассажирского транспорта по муниципальным маршрутам регулярных перевозок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16.3.4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Снижение уровня износа автобус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ов за счет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с учетом использования субсидий из областного бюджета Новосибирской области в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рамках действующей государственной программы Новосибирской области 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highlight w:val="white"/>
                <w:lang w:eastAsia="ru-RU"/>
              </w:rPr>
              <w:t xml:space="preserve">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уровня регулярности транспортного сообще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ния пассажирского транспорта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муниципальным маршрутам регулярных перевозок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транспорта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дорожного хозяйства Новосибирской области 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16.3.5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Организация и пр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оведение конкурсных процедур по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определению перевозчиков на муниципальных маршрутах регулярных перевозок пассажиров наземным транспортом с учетом максимального привлечения 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егосударственных перевозчиков и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включением дополнительных условий к повышению уровня качества предоставляемых услуг при перевозке пассажиров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увеличение количества перевозчиков негосударственных форм собственности.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Наличие сети регулярных маршрутов.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Повышение качества и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эффективности трансп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ортного обслуживания населения.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Доля объема пере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везенных пассажиров и багажа по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val="en-US" w:eastAsia="ru-RU"/>
              </w:rPr>
              <w:t xml:space="preserve">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муниципальным маршрутам регулярных перевозок (городской транспорт) организациями частной формы собственности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val="en-US" w:eastAsia="ru-RU"/>
              </w:rPr>
              <w:t xml:space="preserve">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общем 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бъеме перевезенных пассажиров и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багажа по данным маршрутам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ind w:left="0" w:right="-31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17. Рынок оказания услуг по перевозке пассажиров автомобильным транспортом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 межмуниципальным маршрутам регулярных перевозок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Оказание услуг по перевозке пассажиров автомобильным транспортом по межмуниципальным маршрутам регулярных перевозок осуществляется по двум направлениям: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межмуниципальным (пригородным) маршрутам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межмуниципальным (внутриобластным) маршрутам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Организация транспортного обслуживания населения по межмуниципальным маршрутам Новосибирской области входит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компетенцию министерства транспорта и дорожного хозяйства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целью максимального привлечения перевозчиков частного бизнеса и повышения уровня качества предоставляемых услуг при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перевозке пассажиров проводятся конкурсные процедуры, по результатам которых заключаются договоры и (или) выдаются свидетельства на осуществление регулярных перевозок пассажиров автомобильным транспортом по межмуниципальным маршрутам регулярных перевозок.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Расписания движения автомобильного транспорта по межмуниципальным маршрутам регулярных перевозок размещены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сети «Интернет» на официальном сайте министерства транспорта и дорожного хозяйства Новосибирской области.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настоящее время в целях совершенствования системы организации контроля и управления на пассажирском транспорте Новосибирской области задействована автоматизированная система контроля с использованием спутниковой навигации (ГЛОНАСС/GPS) в рамках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РНИС НСО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Данная система позволяет осуществлять контроль за регулярностью транспортного сообщения, что позволяет повысить уровень транспортного обслуживания населения.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Действующая государственная программа</w:t>
      </w:r>
      <w:r>
        <w:rPr>
          <w:rFonts w:ascii="Times New Roman" w:hAnsi="Times New Roman" w:cs="Times New Roman" w:eastAsiaTheme="minorEastAsia"/>
          <w:bCs/>
          <w:sz w:val="28"/>
          <w:szCs w:val="28"/>
          <w:highlight w:val="white"/>
          <w:lang w:eastAsia="ru-RU"/>
        </w:rPr>
        <w:t xml:space="preserve"> обеспечивает стабильное развитие транспортного обслуживания населения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межмуниципальным маршрутам регулярных перевозок </w:t>
      </w:r>
      <w:r>
        <w:rPr>
          <w:rFonts w:ascii="Times New Roman" w:hAnsi="Times New Roman" w:cs="Times New Roman" w:eastAsiaTheme="minorEastAsia"/>
          <w:bCs/>
          <w:sz w:val="28"/>
          <w:szCs w:val="28"/>
          <w:highlight w:val="white"/>
          <w:lang w:eastAsia="ru-RU"/>
        </w:rPr>
        <w:t xml:space="preserve">Новосибирской области.</w:t>
      </w:r>
      <w:r>
        <w:rPr>
          <w:rFonts w:ascii="Times New Roman" w:hAnsi="Times New Roman" w:cs="Times New Roman" w:eastAsiaTheme="minorEastAsia"/>
          <w:bCs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ение субсидий из областного бюджета Новосибирской области создает условия перевозчикам пассажирского транспорта для безубыточной работы и обеспечивает бесперебойное транспортное обслуживание населения, в том числе инвалидов и маломобильных групп населения.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Объемы перевозок по муниципальным маршрутам Новосибирской области на 01.01.2019 составляют 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030,5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 тыс. пассажиров, в том числе: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муниципальным транспортом – 60,44 тыс. пассажиров (по пригородным маршрутам – 18,9 тыс. пассажиров, по междугородним маршрутам – 41,54 тыс. пассажиров);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немуниципальным транспортом –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970,15 тыс. пассажиров (по пригородным маршрутам –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725,58 тыс. пассажиров,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междугородним маршрутам – 244,57 тыс. пассажиров).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Проблема: высокий износ автобусов и недостаточность средств у перевозчиков для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своевременного обновления, коэффициент износа автобусов, задействованных на межмуниципальных маршрутах по регулируемому тарифу Новосибирской области, составляет 0,62%.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Задача: содействие развитию конкуренции на рынке.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создание условий для развития конкуренции на рынке оказания услуг по перевозке пассажиров автомобильным транспортом по межмуниципальным маршрутам регулярных перевозок.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18"/>
        <w:gridCol w:w="1280"/>
        <w:gridCol w:w="1196"/>
        <w:gridCol w:w="1196"/>
        <w:gridCol w:w="1196"/>
        <w:gridCol w:w="1199"/>
        <w:gridCol w:w="1087"/>
        <w:gridCol w:w="1087"/>
        <w:gridCol w:w="1087"/>
        <w:gridCol w:w="1083"/>
        <w:gridCol w:w="1083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21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contextualSpacing/>
        <w:ind w:left="7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819" w:type="dxa"/>
        <w:jc w:val="center"/>
        <w:tblInd w:w="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33"/>
        <w:gridCol w:w="4879"/>
        <w:gridCol w:w="3616"/>
        <w:gridCol w:w="2745"/>
        <w:gridCol w:w="2745"/>
      </w:tblGrid>
      <w:tr>
        <w:tblPrEx/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81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7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1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79" w:type="dxa"/>
            <w:textDirection w:val="lrTb"/>
            <w:noWrap w:val="false"/>
          </w:tcPr>
          <w:p>
            <w:pPr>
              <w:pStyle w:val="801"/>
              <w:jc w:val="both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highlight w:val="white"/>
              </w:rPr>
              <w:t xml:space="preserve">Размещение информации о критериях конкурсного отбора перевозчиков в открытом доступе в сети «Интернет» с целью обеспечения максимальной доступности информации и прозрачности условий работы на рынке 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  <w:t xml:space="preserve">оказания услуг по перевозке пассажиров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автомобильным транспортом по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межмуниципальным маршрутам регулярных перевозок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16" w:type="dxa"/>
            <w:textDirection w:val="lrTb"/>
            <w:noWrap w:val="false"/>
          </w:tcPr>
          <w:p>
            <w:pPr>
              <w:pStyle w:val="801"/>
              <w:jc w:val="both"/>
              <w:spacing w:before="0" w:line="240" w:lineRule="auto"/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  <w:t xml:space="preserve">обеспечение максим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  <w:t xml:space="preserve">альной доступности информации и 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  <w:t xml:space="preserve">прозрачности условий ра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  <w:t xml:space="preserve">боты на рынке оказания услуг по 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  <w:t xml:space="preserve">перевозке пассажиров автомобильным транспортом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межмуниципальным маршрутам регулярных перевозок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79" w:type="dxa"/>
            <w:textDirection w:val="lrTb"/>
            <w:noWrap w:val="false"/>
          </w:tcPr>
          <w:p>
            <w:pPr>
              <w:pStyle w:val="988"/>
              <w:jc w:val="both"/>
              <w:rPr>
                <w:rFonts w:ascii="Times New Roman" w:hAnsi="Times New Roman" w:cs="Times New Roman"/>
                <w:bCs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  <w:t xml:space="preserve">Формирова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  <w:t xml:space="preserve">ние сети регулярных маршрутов с 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  <w:t xml:space="preserve">учетом предложений, изложенных в обращениях негосударственных перевозчиков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16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highlight w:val="white"/>
                <w:lang w:eastAsia="en-US"/>
              </w:rPr>
              <w:t xml:space="preserve">увеличение количества перевозчиков негосударственной формы собственности, наличие сети регулярных маршрутов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7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Мониторинг пассажиропотока и оптимизация маршрутной автобусной сети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межмуниципальным маршрутам регулярных перевозок,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 план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ирование регулярных перевозок с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учетом полученной информации по результатам мониторинга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выявление автобусных маршрутов, степень транспортной нагрузки которых превышает общую вмест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имость автобусов, работающих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маршруте.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Оптимизац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ия маршрутной автобусной сети с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учетом корректировки количества рейсов по расписанию и вместимости подвижно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го состава, задействованного на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маршрутах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уровня транспортных потребностей населения провозными возможност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ями пассажирского транспорта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межмуниципальным маршрутам регулярных перевозок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17.3.4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7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Снижение уровня износа автобусов за счет приобретения (обновления)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подвижного состава общественного пассажирского транспорта для работы по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регулируемым тарифам на межмуниципальных маршрутах регулярных перевозок, за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счет средств негосударственных перевозчиков, получаемых в рамках НМЦК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уровня регулярности транспортного сообщения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пассажирского транспорта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муниципальным маршрутам регулярных перевозок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транспорта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дорожного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17.3.5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7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Организация и пр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оведение конкурсных процедур по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определению перевозчиков на муниципальных маршрутах регулярных перевозок пассажиров наземным транспортом с учетом максимального привлечения 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егосударственных перевозчиков и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включе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нием дополнительных условий для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повышения уровня качества предоставляемых услуг при перевозке пассажиров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увеличение количества перевозчиков негосударственных форм собственности.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Наличие сети регулярных маршрутов.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Повышение качества и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эффективности транспортного обслуживания населения.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Доля объема перевезенных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пассажиров и багажа по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муниципальным маршрутам регулярных перевозок (городской транспорт) организациям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и частной формы собственности в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общем объеме перевезенных пассажиров и багажа по данным маршрутам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транспорта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дорожного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18. Рынок оказания услуг по перевозке пассажиров и багажа легковым такси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Деятельность по перевозке пассажиров и багажа легковым такси на территории Новосибирской области осуществляется при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условии получения юридическим лицом или индивидуальным предпринимателем разрешения.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 сегодняшний день на территории Новосибирской области осуществляют деятельность по перевозке пассажиров и багажа легковым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 такси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198 перевозчиков.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2018 году было выдано 785 разрешений, из них: 314 разрешений – на автомобили юридических лиц, 471 разрешение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 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автомобили индивидуальных предпринимателей.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данным государственной информационной системы «Межведомственная автоматизированная информационная система»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общее количество выданных разрешений в период с 2011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года по 2018 год составляет 14 115 шт.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рамках регионального контроля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Минтранс НСО</w:t>
      </w:r>
      <w:r>
        <w:rPr>
          <w:rStyle w:val="997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проводится активная работа, направленная на нелегальных перевозчиков, предлагающих свои услуги под видом таксомоторных перевозок.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Проверки по выявлению нелегальных перево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зчиков носят рейдовый характер.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Проверки проводятся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Минтранс НСО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совместно с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представителями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Управления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Госавтоинспекции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ГУ МВД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России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Новосибирской области, УЭБ и ПК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ГУ МВД России по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Новосибирской области и НП «Таксомоторные Перевозчики Сибири».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Рынок оказания услуг по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перевозке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пассажиров и багажа легковым такси на территории Новосибирской области характеризуется присутствием перевозчиков только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частной формы собственности. Государственный и муниципальный сегмент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данном рынке отсутствует.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Проблема: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наличие нелегальных перевозчиков такси.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содействие развитию конкуренции на рынке оказания услуг по перевозке пассажиров и багажа легковым такси;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осуществление государственного регионального контроля.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создание условий для развития конкуренции на рынке оказания услуг по перевозке пассажиров и багажа легковым такси.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641" w:type="dxa"/>
        <w:jc w:val="center"/>
        <w:tblInd w:w="10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72"/>
        <w:gridCol w:w="1281"/>
        <w:gridCol w:w="1201"/>
        <w:gridCol w:w="1201"/>
        <w:gridCol w:w="1201"/>
        <w:gridCol w:w="1201"/>
        <w:gridCol w:w="1091"/>
        <w:gridCol w:w="1091"/>
        <w:gridCol w:w="1104"/>
        <w:gridCol w:w="1099"/>
        <w:gridCol w:w="1099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7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ности в сфере оказания услуг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перевозке пассажиров и багажа легковым такси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contextualSpacing/>
        <w:ind w:left="7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765" w:type="dxa"/>
        <w:jc w:val="center"/>
        <w:tblInd w:w="9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06"/>
        <w:gridCol w:w="5076"/>
        <w:gridCol w:w="3562"/>
        <w:gridCol w:w="2610"/>
        <w:gridCol w:w="22"/>
        <w:gridCol w:w="2689"/>
      </w:tblGrid>
      <w:tr>
        <w:tblPrEx/>
        <w:trPr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6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07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6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3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8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0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Оптимизация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процедуры выдачи разрешений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осуществление деятельности по перевозке пассажиров и багажа легковым такси на территории Новосибирской области путем предоставления возможности 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азания государственной услуги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электронной форме посредством «Единого портала государственных и муниципальных услуг (функций)»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6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сокращение сроков оказания услуги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1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министерство транспорта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 дорожного хозяйства Новосибирской области;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цифрового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связи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076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Размещение на «Е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дином портале государственных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муниципальных услуг (функций)» актуальной информации о порядке предоставления государственной услуги по выдаче разрешений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осуществление деятельности по перевозке пассажиров и багажа легковым такси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6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максимальной доступности инф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ормации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прозрачности условий получения разрешений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 актуализации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1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министерство транспорта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 дорожного хозяйства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19. Рынок услуг связи, в том числе услуг по предоставлению широкополосного доступа к информационно-телекоммуникационной сети «Интернет»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19.1.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Новосибирской области услуги сотовой связи предоставляют все крупнейшие российские операторы: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БиЛайн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(ПАО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«ВымпелКом»), МТС (ПАО «Мобильные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ТелеСистемы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»), Мегафон (ПАО «МегаФон»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Теле2 (ООО «Т2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Мобайл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Зона действия базовых станций операторов сотовой связи охватывает более 90% территории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ряду показателей доступности услуг связи населению Новосибирская область входит в число лидеров в Российской Федерации. Так, по числу абонентов фиксированного широкополосного дос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тупа к сети «Интернет» на 100 человек населения Новосибирская область занимает 6-е место в Российской Федерации с показателем 32,9. В среднем по России значение указанного показателя составляет 24,3, по Сибирскому федеральному округу (далее – СФО) – 23,0.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Число абонентов мобильного широкополосного доступа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сети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«Интернет» на 100 человек населения в Новосибирской области составляет 113,2. В среднем по России – 109,2, по СФО – 106,5.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Доля домашних хозяйств, имеющих широкополосный доступ к сети «Интернет», в Новосибирской области составляет 86,4%. В среднем по России – 85,5%, по СФО – 84,3%.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Проникновение подвижной радиотелефонной (сотовой) связи на 100 человек населения в Новосибирской области составляет 207,8 единиц. В среднем по России – 215,2, по СФО – 189,5.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Новосибирской области услуги связи по предоставлению широкополосного доступа к сети «Интернет» предоставляют: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направлению «предоставление услуг передачи данных без голос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а» – 31 юридическое лицо, а также индивидуальные предприниматели и одно учреждение государственной собственности (Государственное бюджетное учреждение Новосибирской области «Центр информационных технологий Новосибирской области» (далее – ГБУ НСО «ЦИТ НСО»)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направлению «предоставление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телематических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услуг» – 58 юридических лиц и индивидуальных предпринимателей, 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также три учреждения государственной собственности (ГБУ НСО «ЦИТ НСО», ФГБОУ ВО «Новосибирский государственный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технический университет», ФГАОУ ВО «Новосибирский национальный исследовательский государственный университет»).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общему объему информации, переданной абонентам при доступе к сети «Интернет», Новосибирская область занимает лидирующие позиции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СФО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3 квартале 2018 года – 748 013,6 Тбайт;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3 квартале 2019 года – 759 718,6 Тбайт (на 1,6% выше, чем в 2018 году);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3 квартале 2020 года – 951 826,8 Тбайт (на 25,3% выше, чем в 2019 году, на 27,2% выше, чем в 2018 году);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3 квартале 2021 года – 874 293,5 Тбайт (на 8,1% ниже, чем в 2020 году, на 16,9% выше, чем в 2018 году);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3 квартале 2022 года – 1 135 867,5 Тбайт (на 29,9% выше, чем в 2021 году, на 51,8% выше, чем в 2018 году);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3 квартале 2023 года –1 394 396,3 Тбайт (на 22,8% выше, чем в 2022 году, на 86,4% выше, чем в 2018 году).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реализации государственной </w:t>
      </w:r>
      <w:hyperlink r:id="rId12" w:tooltip="consultantplus://offline/ref=0391D053B6F914035754F3D5BEC8A75C62DBBAF320BB3E105424BFF5180C62661648701769C3831AC740EC893BA6B0BBF6468451E8A4C8461A3BE63AdBU0C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программы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Новосибирской области «Цифровая трансформация Новосибирской области», утвержденной постановлением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31.12.2019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515-п, в период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2016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2019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 введено в строй 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768 абонентских точек широкополосного доступа к сети «Интернет» в 70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населенных пунктах области, из них подключено более 5,3 тысяч домохозяйств и 450 социально значимых объектов. С 2022 по 2023 год обеспечены технической возможностью доступа к сети «Интернет» посредством распределительных волоконно-оптических линий связи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978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домохозяйств в населенных пунктах с численностью жителей от 100 до 500 человек.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Услугами сотовой связи стандартов 3G, 4G (голосовая связь и мобильный широкополосный доступ к сети «Интернет»)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период с 2016 по 2023 год обеспечено более 58 тыс. жителей 163 населенных пункта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2019 по 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 год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территории области осуществлялась реализация федерального пр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оекта «Информационная инфраструктура» национальной программы «Цифровая экономика Российской Федерации», нацеленного на обеспечение широкополосным доступом к сети «Интернет» социально значимых объектов. Всего в период реализации данного проекта подключено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626 социально значимых объекта в 905 населенных пунктах, где проживает более 816 тысяч жителей.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Важно, что в рамках данного проекта обеспечивалось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только подключение социально значимых объектов, но и, благодаря построенным вол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оконно-оптическим линиям связи,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техническая возможность подключения граждан и организаций к услугам фиксированной телефонной связи и широкополос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ного доступа к сети «Интернет».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2021 году на территории Российской Федерации стартовал второй этап федерального проекта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«Устранени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цифрового неравенства» (далее – УЦН 2.0), в рамках которого обеспечиваются услугами мобильной связи и доступа к сети «Интернет» населенные пункты численностью от 100 до 500 человек.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2021 по 2023 год в рамках УЦН 2.0 на территории Новосибирской области услугами сотовой связи стандарта 4G обеспечены 28,18 тыс. жителей, проживающих в 123 населенных пунктах области.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неравн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омерное развитие телекоммуникационной инфраструктуры в регионе, диспропорция в уровне доступности к услугам сотовой связи, телефонии и широкополосного доступа к сети «Интернет» в населенных пунктах, расположенных в сельской местности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связи с невысокой рентабельностью операторы связи не заинтересованы в реализации проектов по развитию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инфраструктуры в малочисленных населенных пунктах.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Задача: содействие развитию конкуренции на рынке услуг связи, в том числе услуг по предоставлению широкополосного доступа к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14571" w:type="dxa"/>
        <w:jc w:val="center"/>
        <w:tblInd w:w="1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39"/>
        <w:gridCol w:w="1143"/>
        <w:gridCol w:w="1143"/>
        <w:gridCol w:w="1142"/>
        <w:gridCol w:w="1142"/>
        <w:gridCol w:w="1151"/>
        <w:gridCol w:w="1145"/>
        <w:gridCol w:w="1145"/>
        <w:gridCol w:w="1145"/>
        <w:gridCol w:w="1139"/>
        <w:gridCol w:w="1139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5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количества объектов государственной и муниципальной собственности, фактически используемых опе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раторами связи для размещения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строительства сетей и сооружений связи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шению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показа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телям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2018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ности в сфере оказания услуг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предоставлению широкополосного доступа к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677" w:type="dxa"/>
        <w:jc w:val="center"/>
        <w:tblInd w:w="1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62"/>
        <w:gridCol w:w="5028"/>
        <w:gridCol w:w="3421"/>
        <w:gridCol w:w="2733"/>
        <w:gridCol w:w="2733"/>
      </w:tblGrid>
      <w:tr>
        <w:tblPrEx/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67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6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02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2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6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028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современными услугами связи жителей и юридических лиц в населенных пунктах Новосибирской области с численностью населения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100 до 500 человек в рамках региональных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2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современных услуг связи в населенных пунктах Новосибирской области с численностью от 100 до 500 человек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цифрового развития и связи Новосибирской области 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6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028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Размещение в открытом доступе на официальном сайте уполномоченного органа государственной власти Новосибирской области, а также официальных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сай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тах органов местного самоуправления Новосибирской области актуальных перечней объектов государственной и муниципальной собственности для размещения объектов, сооружений и средств связи, а также порядков и условий подачи заявлений на доступ к таким объектам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2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упрощение доступа операторов связи к объектам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цифрового развития и связи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6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028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комплексного анализа обеспеченности населенных пунктов Новосибирской области широкополосн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ым доступом к сети «Интернет»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плана развития широкополосного доступа к сети «Интернет» на территории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2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инфраструктуры связи, увеличение обеспеченности жителей малочисленных населенных пунктов широкополосным доступом к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цифрового развития и связи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6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19.3.4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028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дискуссионных площадок (заседаний рабочих групп) с участием представителей операторов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связи и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бизнес-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сообщества в целях дальнейшего совершенствования качества телекоммуникационных услуг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21" w:type="dxa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  <w:t xml:space="preserve">создание условий для развития конкуренции на рынке широкополосного доступа к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  <w:t xml:space="preserve"> 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  <w:t xml:space="preserve">сети «Интернет»,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принятие мер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совершенствованию качест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ва телекоммуникационных услуг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цифрового развития и связи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20. Рынок жилищного строительства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(за исключением Московского фонда реновации жилой застройки и индивидуального жилищного строительства)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Новосибирской области ежегодно вводится в эксплуатацию значительный объем нового жилья. За период 2010-2024 годы введено в эксплуатацию 30,346 млн. кв. м жилья. 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данным Новосибирскстата в 2024 году на территории Новосибирской области введено в эксплуатацию 2 630,017 тыс.кв.м жилья, что составляет 87,2 % к аналогичному периоду 2023 года. 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Достижение установленного региональным проектом «Жилье» планового значения показателя объема ввода жилья (2 154,0 тыс.кв.м) составило 122,1 %.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Структура веденного жилья выглядит следующим образом: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- 64,1 % от общего объёма приходится на долю многоквартирного жилья в регионе, что в абсолютном выражении составляет 1 684,980 тыс.кв.м жилья (79,6 % к аналогичному периоду 2023 года);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- 35,9 % от общего объёма приходится на долю индивидуального жилищного строительства, что в абсолютном выражении составляет 945,037 тыс.кв.м жилья (105,2 % к аналогичному периоду 2023 года). 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Новосибирская область занимает 1 место среди субъектов Сибирского федерального округа по масштабам жилищного строительства.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реди субъектов Российской Федерации за январь-декабрь 2024 года Новосибирская область занимала 11 строчку рейтинга по объемам жилищного строительства, введя на территории региона 2 630,017 тыс.кв.м или 2,44 % от сданной в эксплуатацию общей площади жилья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России в целом.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объему ввода МКД среди субъектов Российской Федерации за январь-декабрь 2024 Новосибирская область занимала 6 строчку рейтинга, введя на территории региона 1 684,980 тыс.кв.м.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настоящее время на территории Новосибирской области строительство жилья осуществляют 221 организация -застройщика, в т.ч. 134 (60,6 % от общего числа) в г. Новосибирске. 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беспеченность населения качественным жильем является важным фактором развития человеческого капитала. Жилищный фонд Новосибирской области неуклонно растет. За последние 10 лет обеспеченность жилыми помещениями в среднем на одного жителя выросла на 47,5% 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уровню 2010 года (20,1 кв. м) и составила 29,65 кв. м в 2024 году. Обеспеченность жильем и его доступность для населения напрямую влияют на качество жизни и сказывается на темпах прироста населения.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территории Новосибирской области реализуются федеральные и региональные программы по поддержке жителей области в решении жилищных вопросов. В тех случаях, где заказчиком получившим разрешение на строительство объекта капитального строительства, как жилог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так и социального, является муниципальное образование региона, фактическое строительство осуществляется так же частными компаниями по договорам генерального подряда на строительство с применением конкурентных способов при размещении заказов на выполнение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проектных и строительно-монтажных работ. 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2024 году введено в эксплуатацию 29 домов (278 квартир) специализированного жилищного фонда для детей-сирот и служебного жилья.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Приобретены на первичном рынке 34 служебные квартиры.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целях вовлечения в оборот неиспользуемых и неэффективно используемых земельных участков, находящихся в государственной собственности, и земельных участков государственная собственность на которые не разграничена проведена работа по актуализации перечня зе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мельных участков, выявленных в результате проведения работ по вовлечению земель и земельных участков, расположенных на территории Новосибирской области, в оборот в целях жилищного строительства. 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состоянию на 01.12.2024 выявлено 477 свободных земельных участков, пригодных для жилищного строительства, общей площадью 2 811,01 га, в том числе в собственности Российской Федерации 4 земельных участка, общей площадью 362,43 га.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высокий уровень ключевой ставки Центрального банка РФ, как следствие высокие ставки по ипотеке, проектному финансированию и коммерческому кредиту;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рост средней рыночной цены квадратного метра жилья;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недостаточная обеспеченность земельных участков инженерной, социальной и иной инфраструктурой.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Задачи: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улучшение жилищных условий граждан;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снижение административного давления на участников рынка;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сохранение объемов ввода жилья;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вовлечение в оборот неиспользуемых и неэффективно используемых земельных участков, находящихся в государственной собственности, и земельных участков государственная собственность на которые не разграничена.</w:t>
      </w:r>
      <w:r/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развитие рынка жилищного строительства.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86"/>
        <w:gridCol w:w="1281"/>
        <w:gridCol w:w="1200"/>
        <w:gridCol w:w="1200"/>
        <w:gridCol w:w="1200"/>
        <w:gridCol w:w="1203"/>
        <w:gridCol w:w="1090"/>
        <w:gridCol w:w="1090"/>
        <w:gridCol w:w="1090"/>
        <w:gridCol w:w="1086"/>
        <w:gridCol w:w="1086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94,4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765" w:type="dxa"/>
        <w:jc w:val="center"/>
        <w:tblInd w:w="9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06"/>
        <w:gridCol w:w="4977"/>
        <w:gridCol w:w="3517"/>
        <w:gridCol w:w="2732"/>
        <w:gridCol w:w="2732"/>
      </w:tblGrid>
      <w:tr>
        <w:tblPrEx/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65" w:type="dxa"/>
            <w:textDirection w:val="lrTb"/>
            <w:noWrap w:val="false"/>
          </w:tcPr>
          <w:p>
            <w:pPr>
              <w:pStyle w:val="98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97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1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20.3.1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Предоставление в электронной форме государственной услуги по выдаче разрешения на строительство объекта капитального строительства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упрощение получения государственной услуги и другой полезной информации.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Снижение административных барьеров и повышение 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доступности получения услуги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2" w:type="dxa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сайте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Новосибирской области «калькулятора процедур», демонстрирующего последовательность прохождения процедур, в зависимости от типа, вида и особенности строительства проекта, получения разрешения на строительство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строительного сообщества о прохождении процедур, необходимых для получения разрешения на строительство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изменении законодательства)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2" w:type="dxa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анализ объемов ввода жилищного строительства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рынка жилищного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2" w:type="dxa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организаций строительного комплекса Новосибирской области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выставочно-ярмарочных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организаций строительного комплекса Новосибирской области, расширения их логистических и деловых контактов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2" w:type="dxa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областной конкурс на лучшую строительно-монтажную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хозяйственной деятельности организаций строительного комплекса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21. Рынок строительства объектов капитального строительства,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исключением жилищного и дорожного строительства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дним из условий устойчивого экономического развития отрасли является активизация инвестиционной деятельности. Так, в 2024 году в рамках государственных контрактов, с применением конкурентных способов при размещении заказов на выполнение проектных и строите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льно-монтажных работ, осуществлялось проектирование и строительство 177 объектов социально-культурного назначения.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состоянию на 31.12.2024 введено в эксплуатацию 25 объектов социальной инфраструктуры (без учета специализированного жилищного фонда для детей-сирот и служебного жилья), в том числе: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- 15 объектов здравоохранения, в т.ч. 10 ФАПов, 4 поликлиники, 1 здание котельной Маслянинской ЦРБ;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- 5 объектов образования, в т.ч. 4 школы и 1 здание котельной школы в с. Марусино;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- 4 объекта культуры;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- 1 объект спорта.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состоянию на 31.12.2024, по данным саморегулируемых организаций в строительной сфере, в Новосибирской области насчитывалось 1 207 строительных организаций, имеющие ОКВЭД 41.20 «Строительство жилых и нежилых зданий» по основному виду деятельности. Количес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тво организаций частной формы собственности на строительном рынке составляет 100%.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Согласно данным Новосибирскстат за январь-декабрь 2024 года по виду экономической деятельности «Строительство» выполнено работ на сумму 348 415,7 млн. рублей, что составляет 117,1% (в сопоставимых ценах) к аналогичному периоду 2023 года. 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аблюдается снижение по количеству объектов, находящихся в надзоре инспекции государственного строительного надзора Новосибирской области. Так, в течении 2023 года было выдано 195 заключений о соответствии объекта и на начало 2024 года в надзоре осталось 46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 объектов капитального строительства. В течении 2024 года выдано 177 заключений о соответствии объекта, по состоянию на 01.01.2025 в надзоре находится 453 объектов капитального строительства.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 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недостаточная обеспеченность земельных участков инженерной, социальной и иной инфраструктурой;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недостаток инвестирования;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высокий процент коммерческого кредита.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Задачи: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снижение административного давления на участников рынка;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применение конкурентных способов при размещении заказов на выполнение проектных и строительно-монтажных работ.</w:t>
      </w:r>
      <w:r/>
    </w:p>
    <w:p>
      <w:pPr>
        <w:pStyle w:val="982"/>
        <w:ind w:left="0" w:firstLine="709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развитие рынка строительства объектов капитального строительства.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26"/>
        <w:gridCol w:w="1294"/>
        <w:gridCol w:w="1297"/>
        <w:gridCol w:w="1297"/>
        <w:gridCol w:w="1297"/>
        <w:gridCol w:w="1300"/>
        <w:gridCol w:w="1172"/>
        <w:gridCol w:w="1172"/>
        <w:gridCol w:w="1172"/>
        <w:gridCol w:w="1178"/>
        <w:gridCol w:w="1178"/>
      </w:tblGrid>
      <w:tr>
        <w:tblPrEx/>
        <w:trPr/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строительства объектов капитального строительства, за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исключением жилищного и дорожного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83"/>
        <w:gridCol w:w="5427"/>
        <w:gridCol w:w="3729"/>
        <w:gridCol w:w="2721"/>
        <w:gridCol w:w="2734"/>
      </w:tblGrid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8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9" w:type="pct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8" w:type="pct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допускаемых министерством строительства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сибирской области и подведомственными организациями нарушений при проведении государственных и муниципальных закупок на строительство объектов капитального строительства и учет результатов данного анализа при формировании документации на проведение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нарушений при проведении закупок на строительство объектов капитального строительства, обеспечение равного доступа участников на товарный рынок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дней и процедур, необходимых для получения разрешения на строительство эталонного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административных барьеров при прохождении процедур, необходимых для получения разрешения на строительство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ОМСУ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ресурсоснабжающие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9" w:type="pct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Оптимизация процедур государственных закупок, а также закупок товаров, работ и услуг в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сфере бюджетного строительства (при выполнении проектных и строительно-монтажных работ)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8" w:type="pct"/>
            <w:textDirection w:val="lrTb"/>
            <w:noWrap w:val="false"/>
          </w:tcPr>
          <w:p>
            <w:pPr>
              <w:pStyle w:val="987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переход к определению поставщика путем проведения конкурентных закупок в электронной форме (электронный аукцион, открытый конкурс).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987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общего объема закупок с единственным участником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организаций строительного комплекса Новосибирской области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выставочно-ярмарочных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предприятий и организаций строительного комплекса Новосибирской области, расширения их логистических и деловых контактов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областной конкурс на лучшую строительно-монтажную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хозяйственной деятельности организаций строительного комплекса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22. Рынок дорожной деятельности (за исключением проектирования)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Автодорожная сеть в Новосибирской области по состоянию на 01.01.2019 включает в себя 28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165,8 км автодорог общего пользования, в том числе 804,4 км автодорог федерального значения, 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731,2 км автодорог регионального или межмуниципального значения, 14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630,2 км автодорог местного значения.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Удельный вес автомобильных дорог общего пользования с твердым покрытием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общей протяженности автомобильных дорог общего пользования составляет 70,6%, удельный вес автомобильных дорог общего пользования с усовершенствованным покрытием в протяженности автомобильных дорог общего пользования с твердым покрытием составляет 45,1%.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Плотность сети автомобильных дорог общего пользования с твердым покрытием по состоянию на 01.0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1.2019 составляет 112 км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дорог на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000 кв. км территории Новосибирской области (57-е место по Российской Федерации), неравномерность ее развития ограничивает развитие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Доля протяженности автомобильных дорог общего пользования, относящихс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к государственной собственности Новосибирской области, не отвечающих нормативным требованиям, в общей протяженности автомобильных дорог общего пользования, относящихся к государственной собственности Новосибирской области, на 01.01.2019 составляет 63,3%.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результатам мониторинга министерства транспорта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состоянию на 01.01.2019 на территории Новосибирской области дорожная деятельность осуществляется организациями частной формы собственности (509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хозяйствующих субъектов).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Расчет ключевого показателя развития конкуренции на рынке дорожной деятельности произведен в соответствии с методикой, утвержденной приказом ФАС России 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29.08.2018 № 1232/18 «Об утверждении Методик по расчету ключевых показателей развития конкуренции в отраслях экономики в субъектах Российской Федерации», по объему рынка в стоимостном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выражении общего объема (доли) выручки по виду деятельности «Строительство автомобильных дорог и автомагистралей» (ОКВЭД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 42.11) и «Строительство мостов и тоннелей» (ОКВЭД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 42.13).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 серьезной и специфической проблемой развития Новосибирской области являет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ся сильная загруженность основных транспортных артерий г. Новосибирска, соединяющих различные его районы, при резко возросшем парке легкового автотранспорта и одновременно слабое развитие транспортной сети в сельских районах. По плотности автодорог общего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пользования с твердым покрытием Новосибирская область занимает место лишь в шестом десятке регионов Российской Федерации, и это заметно снижает ее потенциальные возможности роста.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Состояние автодорожной сети не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соответствует тенденциям автомобилизации и перспективным задачам развития транспортного комплекса Новосибирской области. Продолжает усугубляться несоответствие уровня развития автомобильных дорог уровню автомобилизации и спросу на автомобильные перевозки.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настоящее время идет активный процесс развития Новосибирской агломерации, вызванный процессами развития рынка труда, концентрации наиболее привлекательных рабочих мест в г. Новосибирске, ростом жилых массивов, созданием новых промышл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енных, транспортных, логистических объектов в пригородной зоне, формированием целых зон экономического развития. Дорожно-транспортный комплекс как инфраструктурная отрасль обеспечивает базовые условия жизнедеятельности и развития г. Новосибирска и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коренная модернизация и восстановление автодорожной сети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активное развитие автодорожной инфраструктуры, обеспечивающей потребности как Новосибирской агломерации (трудовая маятниковая миграция населения, доставка грузов для нужд города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), так и соседних регионов, развивающих свои связи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Новосибирским транспортным узлом.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создание условий для развития конкуренции на рынке дорожной деятельности (за исключением проектирования);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и обеспечение сохранности автомобильных дорог регионального, межмуниципального и местного значения для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обеспечения внутриобластных перевозок в интересах экономики и населения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89"/>
        <w:gridCol w:w="1281"/>
        <w:gridCol w:w="1199"/>
        <w:gridCol w:w="1199"/>
        <w:gridCol w:w="1199"/>
        <w:gridCol w:w="1199"/>
        <w:gridCol w:w="1108"/>
        <w:gridCol w:w="1110"/>
        <w:gridCol w:w="1110"/>
        <w:gridCol w:w="1110"/>
        <w:gridCol w:w="1110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дорожной деятельности (за исключением проектирования)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819" w:type="dxa"/>
        <w:jc w:val="center"/>
        <w:tblInd w:w="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33"/>
        <w:gridCol w:w="4851"/>
        <w:gridCol w:w="3669"/>
        <w:gridCol w:w="2733"/>
        <w:gridCol w:w="2733"/>
      </w:tblGrid>
      <w:tr>
        <w:tblPrEx/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81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5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6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5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Осуществление за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купок товаров, работ, услуг для обеспечения государственных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муниципальных нужд Новосибирской области (далее – закуп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ки) конкурентными способами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соблюдением принципов обеспечения конкуренции, открытости и прозрачности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 экономической эффективности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конкурентоспособн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ости хозяйствующих субъектов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рынке дорожной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транспорта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дорожного хозяйства Новосибирской области 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5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Включение в контракты на осуществление дорожной деятельности условий, предусма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тривающих использование новых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новейших технологий, материалов, технологических решений повторного применения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осуществление дорожной деятельности с использованием новых и новейших технологий, материалов, технологических решений повторного применения.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оля контрактов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осуществление дорожной деятельности, предусматривающих использование новых и новейших технологий, материалов, технологических ре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шений повторного применения, от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общего количества новы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 государственных контрактов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выполнение работ в сфере дорожной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транспорта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дорожного хозяйства Новосибирской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ГКУ НСО ТУАД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5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Мониторинг конкурентной среды на рынке дорожной деятельности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данных 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конкурентной среде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рынке дорожной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транспорта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дорожного хозяйства Новосибирской области 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23. Рынок архитектурно-строительного проектирования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соответствии с частью 1 статьи 55.8 Градостроительного кодекса Российской Федерации индивидуальный предприниматель или юридическое лицо имеет право выполнять подготовку проектной документации по договору подряда, заключенному с застройщиком или технически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заказчиком, при условии, что такой индивидуальный предприниматель или такое юридическое лицо является членом саморегулируемой организации в области архитектурно-строительного проектирования (далее – СРО).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Новосибирской области представлены следующие СРО: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Союз «Гильдия проектировщиков Сибири»;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Ассоциация профессиональных проектировщиков Сибири; 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Ассоциация «Партнерство проектировщиков».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Данные СРО являются некоммерческими организациями, основанными на членстве индивидуальных предпринимателей и юридических лиц, осуществляющих подготовку проектной документации по договорам о подготовке проектной документации (далее – члены СРО). 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Вместе с тем, в соответствии с действующим законодательством, на территории Новосибирской области осуществляют свою деятельность проектные организации, зарегистрированные в других регионах России.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состоянию на конец 2024 года, в состав вышеперечисленных СРО вошли 847 хозяйствующих субъектов (члена СРО), оказывающих услуги на рынке архитектурно-строительного проектирования, что на 139 членов СРО ниже значения прошлого года, в том числе 7 организаци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 с федеральным (государственным, муниципальным) участием, это на 4 организации меньше прошлого года. 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ажно подчеркнуть, что проектные организации, в том числе с федеральным (государственным, муниципальным) участием, работающие с федеральными, государственными и муниципальными заказчиками, предоставляют свои услуги в строгом соответствии с действующим закон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одательством о государственном заказе. Это включает соблюдение всех норм и правил, установленных для проведения конкурсных процедур, заключения контрактов и выполнения работ. 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низкий уровень квалификации сотрудников компаний, осуществляющих свою деятельность в сфере архитектурно-строительного проектирования; 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ограниченный доступ малых и средних компаний к архитектурно-строительному проектированию крупных проектов.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Задачи: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применение конкурентных способов при размещении заказов на выполнение проектных и строительно-монтажных работ;</w:t>
      </w:r>
      <w:r/>
    </w:p>
    <w:p>
      <w:pPr>
        <w:pStyle w:val="982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содействие развитию конкуренции на рынке архитектурно-строительного проектирования.</w:t>
      </w:r>
      <w:r/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развитие рынка архитектурно-строительного проектирования.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14641" w:type="dxa"/>
        <w:jc w:val="center"/>
        <w:tblInd w:w="10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94"/>
        <w:gridCol w:w="1281"/>
        <w:gridCol w:w="1201"/>
        <w:gridCol w:w="1201"/>
        <w:gridCol w:w="1201"/>
        <w:gridCol w:w="1204"/>
        <w:gridCol w:w="1091"/>
        <w:gridCol w:w="1091"/>
        <w:gridCol w:w="1091"/>
        <w:gridCol w:w="1093"/>
        <w:gridCol w:w="1093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7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архитектурно-строительного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98,1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98,2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98,2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765" w:type="dxa"/>
        <w:jc w:val="center"/>
        <w:tblInd w:w="9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06"/>
        <w:gridCol w:w="4887"/>
        <w:gridCol w:w="3826"/>
        <w:gridCol w:w="2507"/>
        <w:gridCol w:w="2739"/>
      </w:tblGrid>
      <w:tr>
        <w:tblPrEx/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65" w:type="dxa"/>
            <w:textDirection w:val="lrTb"/>
            <w:noWrap w:val="false"/>
          </w:tcPr>
          <w:p>
            <w:pPr>
              <w:pStyle w:val="98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8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82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87" w:type="dxa"/>
            <w:textDirection w:val="lrTb"/>
            <w:noWrap w:val="false"/>
          </w:tcPr>
          <w:p>
            <w:pPr>
              <w:pStyle w:val="994"/>
              <w:ind w:firstLine="0"/>
              <w:spacing w:line="240" w:lineRule="auto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</w:rPr>
              <w:t xml:space="preserve">Использование типовой проектной документации при реализации государственных и муниципальных контрактов на выполнение работ по строительству социально значимых объектов: школ, детских садов и т.д.</w:t>
            </w:r>
            <w:r>
              <w:rPr>
                <w:sz w:val="24"/>
                <w:szCs w:val="24"/>
                <w:lang w:eastAsia="en-US"/>
                <w14:ligatures w14:val="none"/>
              </w:rPr>
            </w:r>
            <w:r>
              <w:rPr>
                <w:sz w:val="24"/>
                <w:szCs w:val="24"/>
                <w:lang w:eastAsia="en-US"/>
                <w14:ligatures w14:val="none"/>
              </w:rPr>
            </w:r>
          </w:p>
          <w:p>
            <w:pPr>
              <w:pStyle w:val="994"/>
              <w:ind w:firstLine="0"/>
              <w:spacing w:line="240" w:lineRule="auto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  <w14:ligatures w14:val="none"/>
              </w:rPr>
            </w:r>
            <w:r>
              <w:rPr>
                <w:sz w:val="24"/>
                <w:szCs w:val="24"/>
                <w:lang w:eastAsia="en-US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826" w:type="dxa"/>
            <w:textDirection w:val="lrTb"/>
            <w:noWrap w:val="false"/>
          </w:tcPr>
          <w:p>
            <w:pPr>
              <w:pStyle w:val="994"/>
              <w:ind w:firstLine="0"/>
              <w:spacing w:line="240" w:lineRule="auto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</w:rPr>
              <w:t xml:space="preserve">Снижение стоимости разработки проектно-сметной документации.</w:t>
            </w:r>
            <w:r>
              <w:rPr>
                <w:sz w:val="24"/>
                <w:szCs w:val="24"/>
                <w:lang w:eastAsia="en-US"/>
                <w14:ligatures w14:val="none"/>
              </w:rPr>
            </w:r>
            <w:r>
              <w:rPr>
                <w:sz w:val="24"/>
                <w:szCs w:val="24"/>
                <w:lang w:eastAsia="en-US"/>
                <w14:ligatures w14:val="none"/>
              </w:rPr>
            </w:r>
          </w:p>
          <w:p>
            <w:pPr>
              <w:pStyle w:val="994"/>
              <w:ind w:firstLine="0"/>
              <w:spacing w:line="240" w:lineRule="auto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</w:rPr>
              <w:t xml:space="preserve">Снижение сроков реализации проектов</w:t>
            </w:r>
            <w:r>
              <w:rPr>
                <w:sz w:val="24"/>
                <w:szCs w:val="24"/>
                <w:lang w:eastAsia="en-US"/>
                <w14:ligatures w14:val="none"/>
              </w:rPr>
            </w:r>
            <w:r>
              <w:rPr>
                <w:sz w:val="24"/>
                <w:szCs w:val="24"/>
                <w:lang w:eastAsia="en-US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07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5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9" w:type="dxa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87" w:type="dxa"/>
            <w:textDirection w:val="lrTb"/>
            <w:noWrap w:val="false"/>
          </w:tcPr>
          <w:p>
            <w:pPr>
              <w:pStyle w:val="994"/>
              <w:ind w:firstLine="0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Наполнение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сервиса «Витрина проектов» государственной информационной системы «Единый государственный реестр заключений экспертизы проектной документации объектов капитального строительства»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(ЕГРЗ)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типовой проектной документацией Новосибирской области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94"/>
              <w:ind w:firstLine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826" w:type="dxa"/>
            <w:textDirection w:val="lrTb"/>
            <w:noWrap w:val="false"/>
          </w:tcPr>
          <w:p>
            <w:pPr>
              <w:pStyle w:val="994"/>
              <w:ind w:firstLine="0"/>
              <w:spacing w:line="240" w:lineRule="auto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Снижение сроков разработки и стоимости проектирования объектов капитального строительства</w:t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5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9" w:type="dxa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Актуализация на сайте министерства строительства Новосибирской области перечня наиболее часто встречающихся в проектной документации несоответствий проектных решений требованиям технических регламентов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826" w:type="dxa"/>
            <w:textDirection w:val="lrTb"/>
            <w:noWrap w:val="false"/>
          </w:tcPr>
          <w:p>
            <w:pPr>
              <w:pStyle w:val="994"/>
              <w:ind w:firstLine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актуального перечня типовых несоответствий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НСО «ГВЭ НСО»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87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Оптимизация процедур государственных закупок, а также закупок товаров, работ и услуг в сфере бюджетного строительства (при  выполнении проектных и строительно-монтажных работ)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826" w:type="dxa"/>
            <w:textDirection w:val="lrTb"/>
            <w:noWrap w:val="false"/>
          </w:tcPr>
          <w:p>
            <w:pPr>
              <w:pStyle w:val="987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переход к определению поставщика путем проведения конкурентных закупок в электронной форме (электронный аукцион, открытый конкурс,). Снижение общего объема закупок с единственным участником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07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9" w:type="dxa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организаций строительного комплекса Новосибирской области о планируемых выставочно-ярмарочных мероприятиях в сфере проектирования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826" w:type="dxa"/>
            <w:textDirection w:val="lrTb"/>
            <w:noWrap w:val="false"/>
          </w:tcPr>
          <w:p>
            <w:pPr>
              <w:pStyle w:val="994"/>
              <w:ind w:firstLine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повышение эффективности хозяйственной деятельности проектных организаций Новосибирской области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806" w:type="dxa"/>
            <w:vMerge w:val="restart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8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технологий информационного моделирования (ТИМ)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382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сроков проектирования и развитие компетенций в части ТИМ у всех участников строительной отрасли</w:t>
            </w:r>
            <w:r>
              <w:rPr>
                <w:rFonts w:ascii="Times New Roman" w:hAnsi="Times New Roman" w:cs="Times New Roman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5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7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806" w:type="dxa"/>
            <w:vMerge w:val="restart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23.3.7.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8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областной конкурс на лучшую проектно-изыскательскую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382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хозяйственной деятельности организаций строительного комплекса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5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7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24. Рынок племенного животноводства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состоянию на 01.01.2020 деятельность на рынке племенного животноводства в Новосибирской области осуществляют следующие организации: четыр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племенных завода и девять племенных репродукторов по разведению крупного рогатого скота молочного направления, пять племенных репродукторов по разведению крупного рогатого скота мясного направления, два племенных репродуктора по разведению свиней, два пл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еменных репродуктора по разведению советской тяжеловозной и русской рысистой породы лошадей, пять племенных репродукторов второго порядка по  разведению кур яичной и мясных пород, организация по искусственному осеменению сельскохозяйственных животных ОАО 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Новосибирскагроплем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», лаборато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рия иммуногенетической экспертизы, две лаборатории молекулярно-генетической экспертизы, две лаборатории селекционного контроля качества молока, региональный информационно-селекционный центр, организация по хранению и реализации семени быков-производителей.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племенных организациях по разведению сельскохозяйственных животных содержится 36,5 тыс. условных голов маточного поголовья, что на 6% выше аналогичного показателя 2018 года. Маточное поголовье в организациях частной формы собственности уве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личилось к уровню 2018 года на 10% и составило 36,2 тыс. условных голов. Племенные ресурсы молочного скотоводства имеют высокий генетический потенциал по молочной продуктивности. По итогам 2019 года продуктивность коров в племенных организациях составила 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021 кг молока.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Наиболее крупными предприятиями по разведению племенного молочного крупного рогатого скота являются ООО «Сибирская Нива», ООО «КФХ Русское поле», ЗАО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племзавод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«Ирмень»; по разведению мясного крупного рогатого скота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ООО «Сибирская Нива» и ОАО «Северо-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Кулундинское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», по разведению свиней – АО 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Кудряшовское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птицеводстве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АО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«Новосибирская птицефабрика», АО «ПРОДО Птицефабрика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Чикская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», ЗАО Птицефабрика «Ново-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Барышевская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2019 году из 26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организаций, занимающихся в Новосибирской области разведением и реализацией племенного скота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птицы, 24 предприятия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частной формы собственности.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Племенными организациями Новосибирской области в 2019 году реализовано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669 условных голов скота, из них организациями частной формы собственности –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454 условных голов скота. Рост к уровню 2018 года составил 37%, в том числе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организациям частной формы собственности – 43%. За пределы Новосибирской области реализовано 819 голов племенного молодняка крупного рогатого скота. В общем объеме рынка доля организаций частной формы собственности составила 92%.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Проблемы: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недостаток квалифицированных кадров, занимающихся 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селекционно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-племенной работой;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нехватка работников массовых профессий, обслуживающих племенное поголовье;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требования ветеринарного законодательства препятствуют реализации племенного молодняка в другие субъекты Российской Федерации и за рубеж (приказ Министерства сельского хозяйства Российской Федерации от 14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.12.2015 № 635 «Об утверждении В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етеринарных правил проведения регионализации территории Российской Федерации», решение Комиссии таможенного союза 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ЕврАзЭС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 от 18.06.2010 № 317 «О применении ветеринарно-санитарных мер в таможенном союзе»).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Задачи: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содействие развитию конкуренции на рынке племенного животноводства;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увеличение объема реализованных на рынке товаров в натуральном выражении (в условных головах) организациями частной формы собственности, осуществляющими деятельность по разведению племенных сельскохозяйственных животных.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Цели: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развитие конкуренции на рынке племенного животноводства;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снижение 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импортозависимости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 по генетическим ресурсам отрасли животноводства.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91"/>
        <w:gridCol w:w="1294"/>
        <w:gridCol w:w="1297"/>
        <w:gridCol w:w="1297"/>
        <w:gridCol w:w="1297"/>
        <w:gridCol w:w="1303"/>
        <w:gridCol w:w="1184"/>
        <w:gridCol w:w="1181"/>
        <w:gridCol w:w="1178"/>
        <w:gridCol w:w="1181"/>
        <w:gridCol w:w="1181"/>
      </w:tblGrid>
      <w:tr>
        <w:tblPrEx/>
        <w:trPr>
          <w:trHeight w:val="113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на рынке племенного 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88,4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83"/>
        <w:gridCol w:w="5684"/>
        <w:gridCol w:w="3770"/>
        <w:gridCol w:w="2207"/>
        <w:gridCol w:w="2944"/>
        <w:gridCol w:w="6"/>
      </w:tblGrid>
      <w:tr>
        <w:tblPrEx/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Cs/>
                <w:sz w:val="24"/>
                <w:szCs w:val="24"/>
                <w:highlight w:val="white"/>
              </w:rPr>
              <w:outlineLvl w:val="3"/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highlight w:val="white"/>
                <w:lang w:eastAsia="ru-RU"/>
              </w:rPr>
              <w:t xml:space="preserve">24.3.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highlight w:val="white"/>
                <w:lang w:eastAsia="ru-RU"/>
              </w:rPr>
              <w:t xml:space="preserve">Мероприятия по содействию развитию конкуренции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№ п/п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Ожидаемый результат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Ответственный исполнитель (соисполнитель)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24.3.1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Организация и проведение курсов повышения квалификации для зоотехников, зоотехников-селекционеров,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учетчиков по племенному делу, а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также представителей крестьянских (фермерских)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хозяйств и других субъектов малого предпринимательства по вопросам ведения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селекционно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-племенной работы, первичного зоотехнического учета, внедрения информационных систем в животноводстве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повышение уровня квалификации участников рынка в сфере ведения племенной деятельности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2019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2026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министерство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24.3.2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Проведение совещания со специалистами сельскохозяйственных организаций, управлений сельского хозяйства районов области по вопросам ведения и развития племенного животноводства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оказание организационно-методической и информационно-консультативной помощи организациям, осуществляющим деятельность на рынке племенного животноводства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2019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2026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министерство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24.3.3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Проведение выездных проверок в составе комиссии по оценке деятель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ности организаций-заявителей на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соответствие требованиям, пр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едъявляемым к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определенным видам организаций по племенному животноводству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оказание содействия в подготовке документов для включения предприятий в государственный племенной регистр, создание конкурентоспособной племенной базы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2019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2026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министерство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24.3.4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Ежегодное проведение выставки-выводки племенных животных «Сила Сибири» в рамках Новосибирского агропродовольственного форума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увеличение объемов реализации племенного молодняка сельскохозяйственных животных на территории Новосибирской области и за ее пределами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2019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2026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министерство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24.3.5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Размещение на сайте министерства сельского хозяйства Новосибирской области информации, содержащей исчерпывающий перечень актуальных нормативных правовых актов, регламентирующих предоставление субсидий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сельхозтоваропроизводителям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Размещение на сайте Правительства Новосибирской области актуального реестра получателей государственной поддержки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создание электронного информационного ресурса в сети «Интернет», повышение уровня информированности участников товарного рынка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2019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2026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министерство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24.3.6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одача заявлений о предоставлении субсидий, уведомление получателей о принятии решения о предоставлении субсидии или об отказе в предоставлении субсидии в электронном виде посредством государственной интегрированной информационной системы управления обществ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енными финансами «Электронный бюджет»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сокращение сроков обработки документов, исключение случаев предъявления необоснованных требований, а также необоснованных отказов 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предоставлении субсидий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2019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2026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министерство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25. Рынок семеноводства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25.1.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В 2019 году в Новосибирской области в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 реестр семеноводческих хозяйств Российской Федерации включено 18 предприятий, осуществляющих производство (выращивание), комплексную доработку (подготовку), фасовку и реализацию семян сельскохозяйственных культур высших категорий, из них 15 организаций, и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меющих частную форму собственности. В общем объеме рынка доля организаций частной формы собственности составила 83,3%, что значительно превышает значение ключевого показателя, установленного стандартом развития конкуренции в субъектах Российской Федерации.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Основной вклад в развитие селекции и семеноводства зерновых, зернофуражных, зернобобовых, кормовых, технических культур в Новосибирской области внесли ФГБНУ «Федеральный исследовательский центр Институт цитологии и генетики СО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РАН» и ФГБУН «Сибирский федеральный научный центр 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агробиотехнологий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 РАН», результат работы которых оценивается по количеству сортов, гибридов, включенных в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Государственный реестр Российской Федерации по использованию селекционных достижений в сельскохозяйственном производстве Новосибирской области.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Площадь сельскохозяйственных угодий в семеноводческих хозяйствах составила 175,7 тыс.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га. В 2019 году объем производства оригинальных и элитных семян сельскохозяйственных культур вырос к уровню 2018 года в три раза и составил 61,1 тыс. тонн, что обеспечивает потребности Новосибирской области для проведения сортосмены и 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сортообновления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Внутри региона реализовано 15,1 тыс. тонн элитных и оригинальных семян, за пределы региона – 21,1 тыс. тонн (в 4,1 раза выше уровня 2018 года).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В 2019 году высеяно всего 278,2 тыс. тонн семян, из них оригинальных и элитных семян сельскохозяйственных культур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– 28,9 тыс. тонн (+17,5% к уровню 2018 года), что составляет 10,4% от общего количества высеянных семян.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Проблемы: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импортозависимость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 от иностранной селекции по овощным культурам (огурец, томаты, капуста);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недостаточный объем проведения 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сельхозтоваропроизводителями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 региона апробации и регистрации сортовых посевов;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низкая доля посевов новыми высокоурожайными сортами.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Задачи: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содействие развитию конкуренции на рынке семеноводства;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увеличение доли организаций частной формы собственности в общем количестве организаций на рынке семеноводства;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увеличение доли сортовых семян в общем объеме семян сельскохозяйственных культур, используемых для посева.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Цели: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развитие конкуренции на рынке семеноводства;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снижение уровня зависимости внутреннего рынка от иностранного селекционного материала;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увеличение объема производства сортовых семян сельскохозяйственных культур.</w:t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</w:r>
      <w:r>
        <w:rPr>
          <w:rFonts w:ascii="Times New Roman" w:hAnsi="Times New Roman" w:cs="Times New Roman"/>
          <w:sz w:val="20"/>
          <w:szCs w:val="28"/>
          <w:highlight w:val="white"/>
        </w:rPr>
      </w:r>
      <w:r>
        <w:rPr>
          <w:rFonts w:ascii="Times New Roman" w:hAnsi="Times New Roman" w:cs="Times New Roman"/>
          <w:sz w:val="20"/>
          <w:szCs w:val="28"/>
          <w:highlight w:val="white"/>
        </w:rPr>
      </w:r>
    </w:p>
    <w:tbl>
      <w:tblPr>
        <w:tblW w:w="14694" w:type="dxa"/>
        <w:jc w:val="center"/>
        <w:tblInd w:w="10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92"/>
        <w:gridCol w:w="1311"/>
        <w:gridCol w:w="1110"/>
        <w:gridCol w:w="1110"/>
        <w:gridCol w:w="1110"/>
        <w:gridCol w:w="1110"/>
        <w:gridCol w:w="1110"/>
        <w:gridCol w:w="1110"/>
        <w:gridCol w:w="1110"/>
        <w:gridCol w:w="1112"/>
        <w:gridCol w:w="1112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25.2.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3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на рынке семеноводства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3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78,9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83,3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88,2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88,2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88,9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88,9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88,9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88,9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88,9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819" w:type="dxa"/>
        <w:jc w:val="center"/>
        <w:tblInd w:w="88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33"/>
        <w:gridCol w:w="4801"/>
        <w:gridCol w:w="3622"/>
        <w:gridCol w:w="2519"/>
        <w:gridCol w:w="3044"/>
      </w:tblGrid>
      <w:tr>
        <w:tblPrEx/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Cs/>
                <w:sz w:val="24"/>
                <w:szCs w:val="24"/>
                <w:highlight w:val="white"/>
              </w:rPr>
              <w:outlineLvl w:val="3"/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highlight w:val="white"/>
                <w:lang w:eastAsia="ru-RU"/>
              </w:rPr>
              <w:t xml:space="preserve">25.3. Мероприятия по содействию развитию конкуренции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№ п/п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Ожидаемый результат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Ответственный исполнитель (соисполнитель)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25.3.1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Планирование в области сортовой политики, а также контроль за поддержанием научно обоснованного соотношения между основными категориями семян: оригинальные, элитные, репродукц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ионные, репродукционные на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товарные цели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производство необходимо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го объема семенного материала с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учетом потребности предприятий всех форм собственности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2019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2026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25.3.2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Организация и проведение курсов повышения квалификации для руководителей, агрономов, а  также представителей крестьянских (фермерских)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хозяйств и других субъектов малого предпринимательства, занимающихся растениеводческой деятельностью, по вопросам развития семеноводства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повышение уровня квалификации участников рынка в сфере семеноводства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2019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2026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25.3.3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Организация и ведомственный контроль проведения апробации и регистрации посевов сельскохозяйственных культур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увеличение доли сортовых посевов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2019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2026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министерство сельского хозяйства Новосибирской области;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филиал ФГБУ «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Россельхозцентр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» по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25.3.4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Проведение совещаний со специалистами сельскохозяйственных организаций, органов управления АПК муниципальных образований Новосибирской области области по вопросам развития растениеводства и семеноводства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оказание организационно-методической и информационно-консультативной помощи организациям, осуществляющим деятельность на рынке семеноводства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2019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2026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25.3.5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рганизация в рамках региональных мероприятий («День Земли Сибирской» и Сибирский агропродовольственный форум) опытных демонстрационных участков с посевами различных видов и сортов сельскохозяйственных культур, выставки экспозиций частных селекционеров, сем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еноводческих предприятий и компаний, реализующих семенной материал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обмен передовым опыт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ом, расширение сотрудничества и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взаимовыгодных партнерских отношений на рынке семеноводства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2019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2026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25.3.6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Размещение на сайте министерства сельского хозяйства Новосибирской области информации, содержащей исчерпывающий перечень актуальных нормативных правовых актов, регламентирующих предоставление субсидий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сельхозтоваропроизводителям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Размещение на сайте Правительства Новосибирской области актуального реестра получателей государственной поддержки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создание электронного информационного ресурса в сети «Интернет», повышение уровня информированности участников товарного рынка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2019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2026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25.3.7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8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одача заявлений о предоставлении субсидий, уведомление получателей о принятии решения о предоставлении субсидии или об отказе в предоставлении субсидии в электронном виде посредством государственной интегрированной информационной системы управления обществ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енными финансами «Электронный бюджет»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6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сокращение сроков обработки </w:t>
            </w:r>
            <w:r>
              <w:rPr>
                <w:rFonts w:ascii="Times New Roman" w:hAnsi="Times New Roman" w:cs="Times New Roman" w:eastAsiaTheme="minorEastAsia"/>
                <w:spacing w:val="-6"/>
                <w:sz w:val="24"/>
                <w:szCs w:val="24"/>
                <w:highlight w:val="white"/>
                <w:lang w:eastAsia="ru-RU"/>
              </w:rPr>
              <w:t xml:space="preserve">документов, исключение случаев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 предъявлен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ия необоснованных требований, а также необоснованных отказов в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предоставлении субсидий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2019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2026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26. Рынок вылова водных биоресурсов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26.1.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Вылов водных биоресурсов в промышленных целях на территории Новосибирской области осуществляют 52 рыбодобывающие организации. Все хозяйствующие субъекты – частной формы собственности.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Общая численность работающих в рыбодобывающих организациях составляет 1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623 человека. Вылов водных биоресурсов осуществляется на 189 рыбопромысловых (рыболовных) участках. По итогам 2019 года вылов водных биоресурсов составил 11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946,3 тонны, в том числе 9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895,3 тонны рыбы и 2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051 тонн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водных беспозвоночных (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гаммариды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артемия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(на стадии цист), раки).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Государственная аграрная политика в Новосибирской области является составной частью государственной социально-экономической политики и представляет собой систему мер регулирования, направленную на развитие сельских территорий 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сельского хозяйства Новосибирс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кой области. Одной из основных целей государственной аграрной политики в Новосибирской области является создание условий для сохранения, воспроизводства и повышения эффективности использования в сельском хозяйстве земельных и водных биологических ресурсов.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рамках государственной программы Новосибирской области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 02.02.2015 № 37-п «О государственной программе Новосиб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предусмотрена реализация мероприятий, направленных на создание условий для развития товарного рыбоводства 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промышленного рыболовства на территории Новосибирской области, в том числе предоставление субсидий из областного бюджета Новосибирской области юридическим лицам и индивидуальным предпринимателям (за исключением субсидий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государственным (муниципальным) учреждениям) – производителям товаров, работ, услуг в сфере товарного рыбоводства 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промышленного рыболовства.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Стратегии в целях формирования продовольственной безопасности региона путем повышения уровня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самообеспечения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основными видами сельскохозяйственной продукции, создания новых видов конкурентоспособных продуктов, наращива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ния объемов производства экологически чистых, качественных продуктов питания поставлена задача по повышению эффективности сельскохозяйственного производства, в том числе путем создания условий для развития товарного рыбоводства и промышленного рыболовства.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Проблемы: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избыточное число посредников между рыбодобывающими и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рыбоперерабатывающими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хозяйствующими субъектами, а также организациями розничной торговли;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сложные условия вхождения в торговые сети и взаимодействия с торговыми сетями;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снижение покупательской способности населения, оказывающее существенное влияние на рынок продукции из водных биологических ресурсов.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Задача: содействие развитию конкуренции на рынке вылова водных биоресурсов.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Цель: развитие рынка вылова водных биоресурсов.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14677" w:type="dxa"/>
        <w:jc w:val="center"/>
        <w:tblInd w:w="1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61"/>
        <w:gridCol w:w="1281"/>
        <w:gridCol w:w="1204"/>
        <w:gridCol w:w="1204"/>
        <w:gridCol w:w="1204"/>
        <w:gridCol w:w="1206"/>
        <w:gridCol w:w="1087"/>
        <w:gridCol w:w="1082"/>
        <w:gridCol w:w="1079"/>
        <w:gridCol w:w="1084"/>
        <w:gridCol w:w="1084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26.2.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на рынке вылова водных биоресурсов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783" w:type="dxa"/>
        <w:jc w:val="center"/>
        <w:tblInd w:w="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15"/>
        <w:gridCol w:w="5251"/>
        <w:gridCol w:w="3402"/>
        <w:gridCol w:w="2657"/>
        <w:gridCol w:w="2657"/>
      </w:tblGrid>
      <w:tr>
        <w:tblPrEx/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8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26.3.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1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25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0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 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1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26.3.1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25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новых рыболовных участков, перспективных для осуществления промышленного рыболовства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02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количества вновь вводимых в хозяйственное использование водоемов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1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26.3.2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25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рыболовных участков по результатам аукционов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02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количества рыбодобывающих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1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26.3.3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25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права на добычу (вылов) водных биоресурсов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402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объема добычи (вылова) водных биоресурсов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27. Рынок переработки водных биоресурсов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27.1.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Переработку рыбы на территории Новосибирской области осуществляют 48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ры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боперерабатывающих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организаций.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Все хозяйствующие субъекты являются организациями частной формы собственности. Общая численность работающих 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рыбоперерабатывающих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организациях составляет 1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677 человек. Общий объем производства рыбной продукции составляет 27,8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тыс. тонн, в том числе из рыбы местного происхождения – 8,0 тыс. тонн.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Проблемы: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значительный объем первоначальных вложений 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рыбоперерабатывающее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производство при длительном сроке окупаемости;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избыточное число посредников между рыбодобывающими и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рыбоперерабатывающими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хозяйствующими субъектами, а также организациями розничной торговли;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большая часть реализуемой рыбной продукции и прочих водных биоресурсов ввозится из других регионов Российской Федерации или импортируется из иных стран.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Задачи: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развитие механизма прямых поставок от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рыбопереработчиков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в розничную торговую сеть;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создание условий для производства российских товаров, способных эффективно конкурировать с зарубежными аналогами на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внутреннем и внешнем рынках.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Цель: развитие рынка переработки водных биоресурсов.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14641" w:type="dxa"/>
        <w:jc w:val="center"/>
        <w:tblInd w:w="10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40"/>
        <w:gridCol w:w="1281"/>
        <w:gridCol w:w="1204"/>
        <w:gridCol w:w="1204"/>
        <w:gridCol w:w="1204"/>
        <w:gridCol w:w="1207"/>
        <w:gridCol w:w="1082"/>
        <w:gridCol w:w="1079"/>
        <w:gridCol w:w="1077"/>
        <w:gridCol w:w="1082"/>
        <w:gridCol w:w="1082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на рынке переработки водных биоресурсов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765" w:type="dxa"/>
        <w:jc w:val="center"/>
        <w:tblInd w:w="9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06"/>
        <w:gridCol w:w="5128"/>
        <w:gridCol w:w="3553"/>
        <w:gridCol w:w="2639"/>
        <w:gridCol w:w="2639"/>
      </w:tblGrid>
      <w:tr>
        <w:tblPrEx/>
        <w:trPr>
          <w:jc w:val="center"/>
          <w:trHeight w:val="17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6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12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5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3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3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128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рыболовных участков по результатам аукционов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53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объемов добыч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(вылова) водных биоресурсов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сырья для их переработки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3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3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0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128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права на добычу (вылов) водных биоресурсов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53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объема производства рыбной продукции из водных биоресурсов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3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63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28. Рынок товарной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аквакультуры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28.1.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состоянию на 01.01.2020 товарное рыбоводство (товарная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аквакультура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на территории Новосибирской области осуществляли 155 организаций, на 01.01.2021 – 159 организаций. Все хозяйствующие субъекты являются организациями частной формы собственности.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Общая численность работающих в организациях, осуществляющих товарное рыбоводство, составляет 410 человек. Товарное рыбоводство (товарная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аквакультура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осуществляется на 162 рыбоводных участках. По итогам 2019 года вылов выращенной товарной рыбы (пелядь, карп, сазан, толстолобик, белый амур, карась, щука) составил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507,2 тонны, по итогам 2020 года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520 тонн.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осибирской области от 02.02.2015 № 37-п, предусмотрена реализация мероприятий, направленных на создание условий для развития товарного рыбоводства и промышленного рыболовства на территории Новосибирской области, в том числе предоставление субсидий из облас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тного бюджета Новосибирской области юридическим лицам и индивидуальным предпринимателям (за исключением субсидий государственным (муниципальным) учреждениям) – производителям товаров, работ, услуг в сфере товарного рыбоводства и промышленного рыболовства.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рамках этой государственной программы в 2020 году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возмещение части стоимости приобретенного рыбопосадочного материала для зарыбления водных объектов, используемых для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осуществления товарного рыбоводства, из средств областного бюджета Новосибирской области направлено 11,8 млн рублей.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Стратегии в целях формирования продовольственной безопасности региона путем повышения уровня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самообеспечения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основными видами сельскохозяйственной продукции, создания новых видов конкурентоспособных продуктов, наращива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ния объемов производства экологически чистых, качественных продуктов питания поставлена задача по повышению эффективности сельскохозяйственного производства, в том числе путем создания условий для развития товарного рыбоводства и промышленного рыболовства.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высокие первоначальные вложения при длительных сроках окупаемости;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отсутствие стабильного рынка сбыта живой рыбы в период ее массового производства.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Задача: содействие развитию конкуренции на рынке товарной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аквакультуры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рынка товарной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аквакультуры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4"/>
        <w:gridCol w:w="1281"/>
        <w:gridCol w:w="1201"/>
        <w:gridCol w:w="1201"/>
        <w:gridCol w:w="1201"/>
        <w:gridCol w:w="1204"/>
        <w:gridCol w:w="1112"/>
        <w:gridCol w:w="1112"/>
        <w:gridCol w:w="1110"/>
        <w:gridCol w:w="1112"/>
        <w:gridCol w:w="1112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0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на рынке товарной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аквакультуры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863" w:type="dxa"/>
        <w:jc w:val="center"/>
        <w:tblInd w:w="8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5"/>
        <w:gridCol w:w="4901"/>
        <w:gridCol w:w="3534"/>
        <w:gridCol w:w="2786"/>
        <w:gridCol w:w="2778"/>
        <w:gridCol w:w="8"/>
      </w:tblGrid>
      <w:tr>
        <w:tblPrEx/>
        <w:trPr>
          <w:gridAfter w:val="1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85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5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90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3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8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8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5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90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новых рыбоводных участков, перспективных для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аквакультуры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34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количества вновь вводимых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хозяйственное использование водоемов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8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8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5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901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рыбоводных участков на конкурсной основе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534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объемов зарыбления водоемов молодью ценных видов рыб.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объемов вылова выращенной товарной рыбы. Увеличение количества рыбоводных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8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78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Верхнеобское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территориальное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Росрыболовства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29. Рынок добычи общераспространенных полезных ископаемых на участках недр местного значения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29.1.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состоянию на 01.01.2025 на территории Новосибирской области разведано 515 месторождений общераспространенных полезных ископаемых, в том числе: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33 месторождения строительных камней и известняков;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56 месторождения строительных песков и песчано-гравийных материалов;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147 месторождений кирпичного сырья;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78 месторождений сапропеля;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172 месторождение торфа;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29 месторождений суглинков.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Новосибирская область занимает лидирующие позиции по добыче общераспространенных полезных ископаемых в СФО.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2024 году объем добычи общераспространенных полезных ископаемых составил 16 914,457 тыс. куб. м: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пески строительные и песчано-гравийные материалы – 6 619,675 тыс. м3;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строительные камни – 7 657,952 тыс. м3;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известняки строительные – 2 049,680 тыс. м3;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кирпичные суглинки – 587,150 тыс. м3.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общей сложности объемы разведанных запасов строительных материалов (строительных камней, известняков, строительных песков, песчано-гравийных материалов, кирпичных суглинков) в регионе оцениваются в 839 млн куб. 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бщераспространенные полезные ископаемые Новосибирской области представлены строительными песками и песчано-гравийными материалами, строительными камнями, строительными известняками, суглинками и кирпичными суглинками, керамзитовым и аглопоритовым сырьем,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апропелем и торфом.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01.01.2025 на территориальном балансе запасов общераспространенных полезных ископаемых Новосибирской области числится 265 месторождений строительных материалов, что позволяет обеспечивать в полном объеме потребности в материалах строительной и дорожной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ндустрий области. Продукция местных горнодобывающих предприятий не только полностью обеспечивает потребность Новосибирской области, но и поставляется в другие регионы.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сего, с момента исполнения полномочий по распоряжению участками недр местного значения, департаментом природных ресурсов и охраны окружающей среды Новосибирской области, а после его реорганизации 22.03.2018 министерством природных ресурсов и экологии Новос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ибирской области, являющимся областным исполнительным органом Новосибирской области в сфере рационального использования природных ресурсов, выдано 902 лицензии на пользование участками недр местного значения.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Новосибирской области добычу общераспространенных полезных ископаемых (строительных материалов) осуществляет 46 предприятие. Все хозяйствующие субъекты являются организациями частной формы собственности.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Предоставление в пользование участков недр с целью разведки и добычи полезных ископаемых на территории Российской Федерации осуществляется в соответствии с Законом Российской Федерации от 21.02.1992 № 2395-1 «О недрах».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орядок предоставления в пользование участков недр местного значения на территории Новосибирской области установлен постановлением Правительства Новосибирской области от 08.09.2015 № 334-п «Об установлении Порядка предоставления в пользование участков недр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местного значения на территории Новосибирской области».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сложный порядок лицензирования деятельности, излишние требования к организации для получения лицензии;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длительные сроки оформления документов;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сложность получения кредитов для получения начального капитала, необходимого для добычи, а также длительные сроки окупаемости капитальных вложений;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затраты на охрану окружающей среды в сфере добычи.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Задачи: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создание благоприятных условий для развития рынка добычи общераспространенных полезных ископаемых на участках недр местного значения;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борьба с незаконной добычей общераспространенных полезных ископаемых;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сокращение сроков предоставления государственных услуг;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минимизация экологического ущерба при добыче общераспространенных полезных ископаемых.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развитие рынка добычи общераспространенных полезных ископаемых на участках недр местного значения.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0"/>
          <w:szCs w:val="20"/>
          <w:highlight w:val="white"/>
        </w:rPr>
      </w:pPr>
      <w:r>
        <w:rPr>
          <w:rFonts w:ascii="Times New Roman" w:hAnsi="Times New Roman" w:cs="Times New Roman"/>
          <w:iCs/>
          <w:sz w:val="20"/>
          <w:szCs w:val="20"/>
          <w:highlight w:val="white"/>
        </w:rPr>
      </w:r>
      <w:r>
        <w:rPr>
          <w:rFonts w:ascii="Times New Roman" w:hAnsi="Times New Roman" w:cs="Times New Roman"/>
          <w:iCs/>
          <w:sz w:val="20"/>
          <w:szCs w:val="20"/>
          <w:highlight w:val="white"/>
        </w:rPr>
      </w:r>
      <w:r>
        <w:rPr>
          <w:rFonts w:ascii="Times New Roman" w:hAnsi="Times New Roman" w:cs="Times New Roman"/>
          <w:iCs/>
          <w:sz w:val="20"/>
          <w:szCs w:val="20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47"/>
        <w:gridCol w:w="1279"/>
        <w:gridCol w:w="1190"/>
        <w:gridCol w:w="1190"/>
        <w:gridCol w:w="1190"/>
        <w:gridCol w:w="1192"/>
        <w:gridCol w:w="1110"/>
        <w:gridCol w:w="1108"/>
        <w:gridCol w:w="1103"/>
        <w:gridCol w:w="1103"/>
        <w:gridCol w:w="1103"/>
      </w:tblGrid>
      <w:tr>
        <w:tblPrEx/>
        <w:trPr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добычи общераспространенных полезных ископаемых на участках недр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jc w:val="center"/>
        <w:spacing w:after="0" w:line="240" w:lineRule="auto"/>
        <w:tabs>
          <w:tab w:val="left" w:pos="4160" w:leader="none"/>
          <w:tab w:val="center" w:pos="764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748" w:type="dxa"/>
        <w:jc w:val="center"/>
        <w:tblInd w:w="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7"/>
        <w:gridCol w:w="3889"/>
        <w:gridCol w:w="4187"/>
        <w:gridCol w:w="3361"/>
        <w:gridCol w:w="2513"/>
      </w:tblGrid>
      <w:tr>
        <w:tblPrEx/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474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tabs>
                <w:tab w:val="left" w:pos="4160" w:leader="none"/>
                <w:tab w:val="center" w:pos="7645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9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88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6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1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9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88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новых участков недр,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ланируемых для предоставления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пользование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количества вновь вводимых в эксплуатацию карьеров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6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1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природных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экологии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79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88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в пользование участков недр на аукционной основе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количества добывающих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336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1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природных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экологии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30. Рынок легкой промышленности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30.1.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Легкая промышленность занимает сравнительно небольшую долю в структуре обрабатываю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щей промышленности Новосибирской области, всего 1,2% (показатели схожи с общероссийскими). В отрасли сосредоточено большое количество малых и средних предприятий – более 700 предприятий, количество занятых на предприятиях составляет более 5,3 тыс. человек.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Вы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явлена следующая динамика объема отгруженных товаров в легкой промышленности: текстильное и швейное производство в 2016 году – 3,77 млрд рублей; в 2017 году – 5,04 млрд рублей; в 2018 году – 4,78 млрд рублей; производство кожи и изделий из кожи (темп роста</w:t>
      </w:r>
      <w:r>
        <w:rPr>
          <w:rStyle w:val="1018"/>
          <w:rFonts w:ascii="Times New Roman" w:hAnsi="Times New Roman" w:cs="Times New Roman"/>
          <w:iCs/>
          <w:sz w:val="28"/>
          <w:szCs w:val="28"/>
          <w:highlight w:val="white"/>
        </w:rPr>
        <w:footnoteReference w:id="2"/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) в 2016 году – 137,3%; в 2017 году – 100,9%; в 2018 году – 112,6%.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По итогам 2018 года индексы производства по о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тношению к 2017 году составили: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в производстве текстильных изделий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– 117,8%, производстве одежды – 100,8%, производстве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кожи и изделий из кожи – 84,6%.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Объемы отгруженных товаров в 2018 году по видам экономической деятельности легкой промышленности составили в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 производстве: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текстильных изделий – 1,88 млрд рублей (0,3% отгруженных товаров в обрабатывающих производствах), темп отгрузки к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2017 году – 124%;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одежды – 2,9 млрд рублей (0,4% отгруженных товаров в обрабатывающих производствах), темп отгрузки к 2017 году – 93,9%;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кожи и изделий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 из кожи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 – темп отгруз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ки к 2017 году составил 112,6%.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Наиболее крупные организации легкой промышленности Новосибирской области: АО «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Синар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» (женская и мужская одежда, школьная одежда), ООО фабрика одежды «Приз» (женская и школьная одежда), ООО «Шанс» (школьная одежда), ООО «КОРС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noBreakHyphen/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К» (обувь), ООО «С2 групп» (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Сибирский синтепон») (текстильные наполнители из синтетических, искусственных и натуральных волокон, изделия из них). Предприятия легкой промышленности (ПАО «ОР» (Группа компаний «Обувь России»), АО «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Синар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» и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др.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) области ведут активную работу по расширению ассортимента и продвижению своей продукции как на территории области, так и за ее пределами.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На рынке легкой промышленности идет постоянная модернизация, осуществляется запуск новых производств и увеличение номен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клатуры производимой продукции.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Проблемы: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широкое распространение на рынке легкой промышленности продукции нелегального импорта и неучтенн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ого (подпольного) производства;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социальные и кадровые проблемы (низкий уровень зарабо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тной платы работников отрасли);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невысокий уровень технического оснащения производства (многие компании используют оборудование и технологии, которые явл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яются отсталыми и устаревшими);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низкий уровень инвестицио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нной привлекательности отрасли;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сложность в получении льготных кредитов предприятиями легкой промышленности.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Задачи: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содействие развитию конкуренции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на рынке легкой промышленности;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техническое перевооружение и модернизация производства предприятий легкой промышленности в Новосибирской области;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развитие системы воспроизводства трудовых ресурсов, подготовки и переподготовки рабочих, менеджеров и управленческих кадров на предприятиях легкой промышле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нности в Новосибирской области.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Цель: развитие и защита добросовестной конкуренции и расширение рынков сбыта продукции предприятиями легкой промышленности.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0"/>
          <w:szCs w:val="20"/>
          <w:highlight w:val="white"/>
        </w:rPr>
      </w:pPr>
      <w:r>
        <w:rPr>
          <w:rFonts w:ascii="Times New Roman" w:hAnsi="Times New Roman" w:cs="Times New Roman"/>
          <w:iCs/>
          <w:sz w:val="20"/>
          <w:szCs w:val="20"/>
          <w:highlight w:val="white"/>
        </w:rPr>
      </w:r>
      <w:r>
        <w:rPr>
          <w:rFonts w:ascii="Times New Roman" w:hAnsi="Times New Roman" w:cs="Times New Roman"/>
          <w:iCs/>
          <w:sz w:val="20"/>
          <w:szCs w:val="20"/>
          <w:highlight w:val="white"/>
        </w:rPr>
      </w:r>
      <w:r>
        <w:rPr>
          <w:rFonts w:ascii="Times New Roman" w:hAnsi="Times New Roman" w:cs="Times New Roman"/>
          <w:iCs/>
          <w:sz w:val="20"/>
          <w:szCs w:val="20"/>
          <w:highlight w:val="white"/>
        </w:rPr>
      </w:r>
    </w:p>
    <w:tbl>
      <w:tblPr>
        <w:tblW w:w="14641" w:type="dxa"/>
        <w:jc w:val="center"/>
        <w:tblInd w:w="10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97"/>
        <w:gridCol w:w="1280"/>
        <w:gridCol w:w="1195"/>
        <w:gridCol w:w="1195"/>
        <w:gridCol w:w="1195"/>
        <w:gridCol w:w="1198"/>
        <w:gridCol w:w="1137"/>
        <w:gridCol w:w="1137"/>
        <w:gridCol w:w="1134"/>
        <w:gridCol w:w="1137"/>
        <w:gridCol w:w="1137"/>
      </w:tblGrid>
      <w:tr>
        <w:tblPrEx/>
        <w:trPr>
          <w:jc w:val="center"/>
          <w:trHeight w:val="20"/>
        </w:trPr>
        <w:tc>
          <w:tcPr>
            <w:gridSpan w:val="11"/>
            <w:tcMar>
              <w:top w:w="57" w:type="dxa"/>
              <w:bottom w:w="57" w:type="dxa"/>
            </w:tcMar>
            <w:tcW w:w="14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30.2.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8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8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легкой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137" w:type="dxa"/>
            <w:textDirection w:val="lrTb"/>
            <w:noWrap w:val="false"/>
          </w:tcPr>
          <w:p>
            <w:pPr>
              <w:jc w:val="center"/>
              <w:tabs>
                <w:tab w:val="center" w:pos="506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80"/>
        <w:gridCol w:w="4735"/>
        <w:gridCol w:w="3616"/>
        <w:gridCol w:w="2793"/>
        <w:gridCol w:w="2789"/>
      </w:tblGrid>
      <w:tr>
        <w:tblPrEx/>
        <w:trPr>
          <w:jc w:val="center"/>
          <w:trHeight w:val="311"/>
        </w:trPr>
        <w:tc>
          <w:tcPr>
            <w:gridSpan w:val="5"/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598"/>
        </w:trPr>
        <w:tc>
          <w:tcPr>
            <w:tcW w:w="7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7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579"/>
        </w:trPr>
        <w:tc>
          <w:tcPr>
            <w:tcW w:w="7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7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Мониторинг состояния конкуренции на рынке легкой промышленности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данных 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конкурентной среде на рынке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легкой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7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промышленности,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торговли и развития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431"/>
        </w:trPr>
        <w:tc>
          <w:tcPr>
            <w:tcW w:w="7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7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Содействие продвижению регионального рынка продукции легкой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объема отгруженных товаров собственного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7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промышленности, торговли и развития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31. Рынок обработки древесины и производства изделий из дерева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31.1.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ынок обработки древесины и производства из дерева - один из наиболее перспективных. Это обусловлено в основном географией Новосибирской области и огромным количеством лесных массивов на ее территории, а также способностью лесов к самовозобновлению и постоя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нному пополнению ресурсов.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бщая площадь земель, на которых расположены леса на территории Новосибирской области, составляет 6 597,7 тыс. га, в том числе покрытая лесом площадь составляет 4 761,1 тыс. га. Леса размещаются во всех 30 муниципальных районах области. Наибольшая площадь 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емель лесного фонда сосредоточена в северных районах - Кыштовском, Северном, Убинском и Колыванском районах (57,7%).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бщий запас древесины в Новосибирской области – 592,92 млн куб. м. Ежегодный допустимый объем заготовки древесины (расчетная лесосека) по Новосибирской области составляет 4546,5 тыс. куб. м. В 2024 году по сравнению с 2023 годом индекс производства по обраб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отке древесины и производству изделий из дерева составил 91,1%, что связано с введением ограничений на экспорт продуктов в отдельные европейские страны.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данным Новосибирскстата, в целом в лесопромышленном комплексе региона по итогам 2024 года осуществляют деятельность 1067 организаций (в том числе 567 индивидуальных предпринимателя), из них 1044 (97,8%) - частной формы собственности.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Новосибирской области зарегистрировано 23 предприятия государственной формы собственности, выполняющее мероприятия по охране, защите и воспроизводству лесов.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Лесопромышленный комплекс Новосибирской области представлен в основном предприятиями первичной обработки древесины, деятельность которых направлена на обеспечение потребностей местного населения в товарах народного потребления и прежде всего в дровах.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азвитие лесозаготовительного, деревообрабатывающего, целлюлозно-бумажного и иного производства, использующего древесину, является одним из возможных направлений развития сельских территорий, а лесной фонд выступает ресурсом для экономического развития пром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ышленности региона.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настоящее время предприятия региона постепенно осуществляют переход на производство более дорогой продукции деревообработки, вводят в эксплуатацию современные производственные линии по переработке древесины, осваивают новые виды выпускаемой продукции.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рынка обработки древесины предусмотрено стратегиями социально-экономического развития Северного, Кыштовского, Маслянинского, Сузунского и других муниципальных образований Новосибирской области.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высокий износ основных средств;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недостаток квалифицированных кадров.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Задачи: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укрепление материально – технической базы деревоперерабатывающих организаций за счет приобретения современного деревоперерабатывающего оборудования и транспортных средств;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увеличение производства продукции деревообработки с более высокой добавленной стоимостью;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подготовка, переподготовка и повышение квалификации кадров лесного хозяйства;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содействие развитию конкуренции на рынке обработки древесины и производства изделий из дерева.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развитие конкуренции на рынке обработки древесины и производства изделий из дерева.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0"/>
          <w:szCs w:val="20"/>
          <w:highlight w:val="white"/>
        </w:rPr>
      </w:pPr>
      <w:r>
        <w:rPr>
          <w:rFonts w:ascii="Times New Roman" w:hAnsi="Times New Roman" w:cs="Times New Roman"/>
          <w:iCs/>
          <w:sz w:val="20"/>
          <w:szCs w:val="20"/>
          <w:highlight w:val="white"/>
        </w:rPr>
      </w:r>
      <w:r>
        <w:rPr>
          <w:rFonts w:ascii="Times New Roman" w:hAnsi="Times New Roman" w:cs="Times New Roman"/>
          <w:iCs/>
          <w:sz w:val="20"/>
          <w:szCs w:val="20"/>
          <w:highlight w:val="white"/>
        </w:rPr>
      </w:r>
      <w:r>
        <w:rPr>
          <w:rFonts w:ascii="Times New Roman" w:hAnsi="Times New Roman" w:cs="Times New Roman"/>
          <w:iCs/>
          <w:sz w:val="20"/>
          <w:szCs w:val="20"/>
          <w:highlight w:val="white"/>
        </w:rPr>
      </w:r>
    </w:p>
    <w:tbl>
      <w:tblPr>
        <w:tblW w:w="14641" w:type="dxa"/>
        <w:jc w:val="center"/>
        <w:tblInd w:w="10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86"/>
        <w:gridCol w:w="1281"/>
        <w:gridCol w:w="1205"/>
        <w:gridCol w:w="1205"/>
        <w:gridCol w:w="1205"/>
        <w:gridCol w:w="1208"/>
        <w:gridCol w:w="1072"/>
        <w:gridCol w:w="1072"/>
        <w:gridCol w:w="1069"/>
        <w:gridCol w:w="1069"/>
        <w:gridCol w:w="1069"/>
      </w:tblGrid>
      <w:tr>
        <w:tblPrEx/>
        <w:trPr>
          <w:jc w:val="center"/>
          <w:trHeight w:val="20"/>
        </w:trPr>
        <w:tc>
          <w:tcPr>
            <w:gridSpan w:val="11"/>
            <w:tcMar>
              <w:top w:w="57" w:type="dxa"/>
              <w:bottom w:w="57" w:type="dxa"/>
            </w:tcMar>
            <w:tcW w:w="14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31.2.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31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0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31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обработки древ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есины и производства изделий из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дерева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97,7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97,7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97,7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97,7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97,7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97,7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97,8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97,7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0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97,7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tbl>
      <w:tblPr>
        <w:tblW w:w="14783" w:type="dxa"/>
        <w:jc w:val="center"/>
        <w:tblInd w:w="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15"/>
        <w:gridCol w:w="5154"/>
        <w:gridCol w:w="3502"/>
        <w:gridCol w:w="2654"/>
        <w:gridCol w:w="2657"/>
      </w:tblGrid>
      <w:tr>
        <w:tblPrEx/>
        <w:trPr>
          <w:jc w:val="center"/>
          <w:trHeight w:val="20"/>
        </w:trPr>
        <w:tc>
          <w:tcPr>
            <w:gridSpan w:val="5"/>
            <w:tcMar>
              <w:top w:w="57" w:type="dxa"/>
              <w:bottom w:w="57" w:type="dxa"/>
            </w:tcMar>
            <w:tcW w:w="1478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31.3.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81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515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50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5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81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31.3.1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5154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мер государственной поддержки, в том числе для реализ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ации инвестиционных проектов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глубокой переработке древесины, переработке низкосортной и лиственной древесины, переработке отходов;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дальнейшего технического перевооружения всего деревообрабатывающего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502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сохранение высокого уровня присутствия организаций частной формы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рынке обработки древесины и производства изделий из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дерева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5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природных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экологии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81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31.3.2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5154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бирж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евой торговли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лесопродукцией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502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лесопродукции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биржевых торгах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5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природных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экологии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81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31.3.3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5154" w:type="dxa"/>
            <w:textDirection w:val="lrTb"/>
            <w:noWrap w:val="false"/>
          </w:tcPr>
          <w:p>
            <w:pPr>
              <w:pStyle w:val="98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обучающих мероприятий для участников товарного рынка с участием представителей бирж, осуществляющих биржевую торговлю лесом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502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повышение информационной грамотности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редпринимателей,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хозяйственную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деятельность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рынке обработки древесины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 вопросам биржевой торговли лесом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5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65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природных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экологии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32. Рынок производства кирпича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32.1.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Промышленность строительных материалов Новосибирской области занимает одно из лидирующих мест среди отраслей промышленности по общему объему выпуска производимой продукции.</w:t>
      </w:r>
      <w:r/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Одним из основных строительных материалов, используемым при строительстве объектов капитального строительства на территории Новосибирской области, является кирпич.</w:t>
      </w:r>
      <w:r/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На территории Новосибирской области производятся все марки кирпича, необходимого для возведения объектов капитального строительства, в том числе облицовочный и гиперпрессованный кирпич.</w:t>
      </w:r>
      <w:r/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Производимая на территории Новосибирской области продукция кирпича в полной мере обеспечивает нужды строительных организаций региона, а также импортируется в соседние области и ближнее зарубежье.</w:t>
      </w:r>
      <w:r/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Конкурирующей основой рынка производства кирпича является наличие на территории региона значительного запаса кирпичного суглинка, добываемого из карьеров предприятиями, производящими кирпич.</w:t>
      </w:r>
      <w:r/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Учитывая возможности природно-сырьевой базы региона, на территории Новосибирской области в настоящее время работает 180 предприятий стройиндустрии, в том числе 8 производителей кирпича.</w:t>
      </w:r>
      <w:r/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Согласно данных Новосибирскстата, в январе-декабре 2024 года произведено 335,7 млн. шт.усл. кирпичей, что составило 108,4 % к аналогичному периоду прошлого года. Все  предприятия имеют частную форму собственности.</w:t>
      </w:r>
      <w:r/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Состояние данного рынка зависит от деятельности строительной отрасли Новосибирской области. </w:t>
      </w:r>
      <w:r/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Проблемы:</w:t>
      </w:r>
      <w:r/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недозагруженность производственных мощностей; </w:t>
      </w:r>
      <w:r/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снижение спроса ввиду сезонности проведения строительных работ;</w:t>
      </w:r>
      <w:r/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недостаточный уровень инвестиций, необходимых для модернизации и технического перевооружения действующих предприятий отрасли и внедрения современных технологий.</w:t>
      </w:r>
      <w:r/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Задачи:</w:t>
      </w:r>
      <w:r/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содействие развитию конкуренции на рынке производства кирпича;</w:t>
      </w:r>
      <w:r/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расширение рынков сбыта за территорию Новосибирской области;</w:t>
      </w:r>
      <w:r/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повышение технического уровня производства кирпича, его эксплуатационных свойств, создание новых материалов;</w:t>
      </w:r>
      <w:r/>
    </w:p>
    <w:p>
      <w:pPr>
        <w:contextualSpacing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переподготовка специалистов в соответствии с новыми вызовами и потребностями в целях внедрения и применения новых технологий производства.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 xml:space="preserve">Цель: развитие рынка производства кирпича.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06"/>
        <w:gridCol w:w="1281"/>
        <w:gridCol w:w="1125"/>
        <w:gridCol w:w="1125"/>
        <w:gridCol w:w="1125"/>
        <w:gridCol w:w="1125"/>
        <w:gridCol w:w="1125"/>
        <w:gridCol w:w="1125"/>
        <w:gridCol w:w="1128"/>
        <w:gridCol w:w="1125"/>
        <w:gridCol w:w="1125"/>
      </w:tblGrid>
      <w:tr>
        <w:tblPrEx/>
        <w:trPr>
          <w:jc w:val="center"/>
        </w:trPr>
        <w:tc>
          <w:tcPr>
            <w:gridSpan w:val="11"/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32.2.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33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33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производства кирпича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82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819" w:type="dxa"/>
        <w:jc w:val="center"/>
        <w:tblInd w:w="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33"/>
        <w:gridCol w:w="5172"/>
        <w:gridCol w:w="3521"/>
        <w:gridCol w:w="2469"/>
        <w:gridCol w:w="2824"/>
      </w:tblGrid>
      <w:tr>
        <w:tblPrEx/>
        <w:trPr>
          <w:jc w:val="center"/>
        </w:trPr>
        <w:tc>
          <w:tcPr>
            <w:gridSpan w:val="5"/>
            <w:tcMar>
              <w:top w:w="57" w:type="dxa"/>
              <w:bottom w:w="57" w:type="dxa"/>
            </w:tcMar>
            <w:tcW w:w="14819" w:type="dxa"/>
            <w:textDirection w:val="lrTb"/>
            <w:noWrap w:val="false"/>
          </w:tcPr>
          <w:p>
            <w:pPr>
              <w:pStyle w:val="98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517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3521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46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82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51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объемов строительства объектов капитального строительства на территории Новосибирской области за счет консолидированного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3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объемов производства кирпича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824" w:type="dxa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5172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Мероприятия по оптимизации процедур государственных закупок, а также закупок товаров, работ и услуг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строительства (при выполнении проектных и строительно-монтажных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3521" w:type="dxa"/>
            <w:textDirection w:val="lrTb"/>
            <w:noWrap w:val="false"/>
          </w:tcPr>
          <w:p>
            <w:pPr>
              <w:pStyle w:val="987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переход к определению поставщика путем проведения конкурентных закупок в электронной форме (электронный аукцион, открытый конкурс).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987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общего объема закупок с единственным участником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Mar>
              <w:top w:w="57" w:type="dxa"/>
              <w:bottom w:w="57" w:type="dxa"/>
            </w:tcMar>
            <w:tcW w:w="2469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824" w:type="dxa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51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областной конкурс на лучшую организацию по производству строительных материалов, конструкций и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3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хозяйственной деятельности организаций строительного комплекса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824" w:type="dxa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54"/>
        </w:trPr>
        <w:tc>
          <w:tcPr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51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организаций строительного комплекса Новосибирской области о проведении выставочно-ярмарочных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3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для доступа производителей к участию на областных и межрегиональных выставках для презентации товара, организация межрегионального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824" w:type="dxa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33. Рынок производства бетона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33.1.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Одним из основных строительных материалов, используемым при строительстве объектов капитального строительства на территории Новосибирской области, является бетон.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читывая имеющиеся возможности природно-сырьевой базы региона, на территории Новосибирской области в настоящее время работает порядка 180 предприятий стройиндустрии, в том числе 24 производителей сборных железобетонных изделий и конструкций, в том числе 4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роизводителей крупно-панельного домостроения. Все  предприятия имеют частную форму собственности.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данными Новосибирскстата, в январе-декабре 2024 года произведено 1445,5 тыс.куб.м товарного бетона, что составило 93,0% к аналогичному периоду прошлого года.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месте с тем, производители не испытывают проблем с сырьем. При этом к ограничениям, влияющим на развитие конкуренции на данном рынке, следует отнести высокие цены на электроэнергию, потребность в значительных капиталовложениях при организации производства.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Состояние данного рынка зависит от деятельности строительной отрасли Новосибирской области. 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Проблемы: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недозагруженность производственных мощностей; 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снижение спроса ввиду сезонности проведения строительных работ;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недостаточный уровень инвестиций, необходимых для модернизации отрасли и внедрения современных технологий;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высокие цены на электроэнергию .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Задачи: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поддержание конкурентных условий на рынке;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расширение рынков сбыта за территорию региона;</w:t>
      </w:r>
      <w:r/>
    </w:p>
    <w:p>
      <w:pPr>
        <w:pStyle w:val="982"/>
        <w:ind w:left="0"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переподготовка специалистов в соответствии с новыми вызовами и потребностями в целях внедрения и применения новых технологий производства.</w:t>
      </w:r>
      <w:r/>
    </w:p>
    <w:p>
      <w:pPr>
        <w:pStyle w:val="982"/>
        <w:ind w:left="0" w:firstLine="709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Цель: развитие рынка производства бетона.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142" w:right="111" w:firstLine="567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Cs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14712" w:type="dxa"/>
        <w:jc w:val="center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31"/>
        <w:gridCol w:w="1281"/>
        <w:gridCol w:w="1089"/>
        <w:gridCol w:w="1089"/>
        <w:gridCol w:w="1089"/>
        <w:gridCol w:w="1089"/>
        <w:gridCol w:w="1089"/>
        <w:gridCol w:w="1089"/>
        <w:gridCol w:w="1089"/>
        <w:gridCol w:w="1089"/>
        <w:gridCol w:w="1089"/>
      </w:tblGrid>
      <w:tr>
        <w:tblPrEx/>
        <w:trPr>
          <w:jc w:val="center"/>
          <w:trHeight w:val="113"/>
        </w:trPr>
        <w:tc>
          <w:tcPr>
            <w:gridSpan w:val="11"/>
            <w:tcMar>
              <w:top w:w="57" w:type="dxa"/>
              <w:bottom w:w="57" w:type="dxa"/>
            </w:tcMar>
            <w:tcW w:w="1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33.2.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13"/>
        </w:trPr>
        <w:tc>
          <w:tcPr>
            <w:tcMar>
              <w:top w:w="57" w:type="dxa"/>
              <w:bottom w:w="57" w:type="dxa"/>
            </w:tcMar>
            <w:tcW w:w="3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13"/>
        </w:trPr>
        <w:tc>
          <w:tcPr>
            <w:tcMar>
              <w:top w:w="57" w:type="dxa"/>
              <w:bottom w:w="57" w:type="dxa"/>
            </w:tcMar>
            <w:tcW w:w="36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производства бетона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0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819" w:type="dxa"/>
        <w:jc w:val="center"/>
        <w:tblInd w:w="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33"/>
        <w:gridCol w:w="4437"/>
        <w:gridCol w:w="3864"/>
        <w:gridCol w:w="2808"/>
        <w:gridCol w:w="2877"/>
      </w:tblGrid>
      <w:tr>
        <w:tblPrEx/>
        <w:trPr>
          <w:jc w:val="center"/>
        </w:trPr>
        <w:tc>
          <w:tcPr>
            <w:gridSpan w:val="5"/>
            <w:tcMar>
              <w:top w:w="57" w:type="dxa"/>
              <w:bottom w:w="57" w:type="dxa"/>
            </w:tcMar>
            <w:tcW w:w="14819" w:type="dxa"/>
            <w:textDirection w:val="lrTb"/>
            <w:noWrap w:val="false"/>
          </w:tcPr>
          <w:p>
            <w:pPr>
              <w:pStyle w:val="98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443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386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80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87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4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объемов строительства объектов капитального строительства на территории Новосибирской области за счет консолидированного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38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объемов производства бетона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8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877" w:type="dxa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4437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Оптимизация процедур государственных закупок, а также закупок товаров, работ и услуг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строительства (при выполнении проектных и строительно-монтажных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3864" w:type="dxa"/>
            <w:textDirection w:val="lrTb"/>
            <w:noWrap w:val="false"/>
          </w:tcPr>
          <w:p>
            <w:pPr>
              <w:pStyle w:val="987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переход к определению поставщика путем проведения конкурентных закупок в электронной форме (электронный аукцион, открытый конкурс).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987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общего объема закупок с единственным участником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Mar>
              <w:top w:w="57" w:type="dxa"/>
              <w:bottom w:w="57" w:type="dxa"/>
            </w:tcMar>
            <w:tcW w:w="2808" w:type="dxa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877" w:type="dxa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4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областной конкурс на лучшую организацию по производству строительных материалов, конструкций и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38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хозяйственной деятельности организаций строительного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8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83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4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организаций строительного комплекса Новосибирской области о проведении выставочно-ярмарочных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38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для доступа производителей в участии на областных и межрегиональных выставках для презентации товара, организация межрегионального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8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top w:w="57" w:type="dxa"/>
              <w:bottom w:w="57" w:type="dxa"/>
            </w:tcMa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34. Рынок услуг по ремонту автотранспортных средств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34.1.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Согласно Единому реестру субъектов малого и среднего предпринимательства (далее – МСП), размещенному на сайте Федеральной налоговой службы в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Общероссийским классификатором видов экономической деятельности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коду «45.20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техническое обслуживание и ремонт автотранспортных средств» зарегистрировано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154 организации, в том числе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322 индивидуальных предприн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имателя и 832 юридических лица.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основании данных, представленных администрациями муниципальных районов и городских округов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состоянию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01.01.2021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доля организаций частной формы собственности среди них составляет 99,6% (в Чистоозерном районе Новосибирской области и г.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Искитиме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присутствуют два хозяйствующих субъекта с муниципальной формой собственности).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данным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Новосибирскстата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2020 году объем услуг по техническому обслуживанию и ремонту транспортных средств, машин и оборудования составил 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767,6 млн рублей (27,3% в общем объеме реализованных за 2020 год бытовых услуг населению Новосибирской области), что составляет 95,6% к показателю 2019 года в сопоставимой оценке. Число работающих в данной сфере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359 человек. Деятельность в сфере техобслуживания и ремонта автотранспорта является одним из источников индивидуальной занятости населения и создания дополнительных рабочих мест.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настоящее время на территории Новосибирской области рынок услуг по ремонту автотранспортных средств развит неравномерно. По данным администраций муниципальных районов и городских округов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высокая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конкуренция на указанном рынке наблюдается в крупных населенных пунктах, в средних населенных пунктах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умеренная конкуренция и в малонаселенных сельских местностях конкуренция практически отсутствует в силу недостаточного спроса на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данный вид услуг.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Основными факторами, сдерживающими развитие данного рынка, являются: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1. Неравномерность размещения субъектов/объектов, осуществляющих деятельность по техническому обслуживанию и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ремонту автотранспортных средств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 по территориям области, отсутствие сервисных предприятий в отдаленных сельс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ких населенных пунктах. Факторами, сдерживающими развитие данной сферы в сельской местности, являются малонаселенность большинства сельских населенных пунктов, отток сельского трудоспособного населения в города, отсутствие квалифицированных специалистов и,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соответственно, недостаточный спрос на услуги. В связи с этим данная сфера деятельности в селах не привлекает субъектов малого и среднего бизнеса из-за низкой рентабельности.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ind w:firstLine="709"/>
        <w:jc w:val="both"/>
        <w:keepLines/>
        <w:spacing w:after="0" w:line="240" w:lineRule="auto"/>
        <w:widowControl w:val="off"/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2. Кадровая проблема. Как и во многих других отраслях, рынок предприятий автосервиса испытывает существенный дефицит кадров. Причинами такого положен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ия являются быстрый рост рынка автомобилей, отсутствие специалистов рабочих специальностей. Путь решения – повысить престиж рабочих специальностей, внедрить практику обязательного распределения выпускников учреждений среднего профессионального образования.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ind w:firstLine="709"/>
        <w:jc w:val="both"/>
        <w:keepLines/>
        <w:spacing w:after="0" w:line="240" w:lineRule="auto"/>
        <w:widowControl w:val="off"/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3. Проблемы материально-технического обеспечения. Развитие предприятий по оказанию услуг технического обслуживания и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ремонта транспортных средств требует финансовых вложений (оборудование, производственные помещения). Основной проблемой является отсутствие собственных площадей, что замедляет развитие предприятия автосервиса на долгосрочную перспективу. Путь решения – ин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формирование субъектов малого и среднего предпринимательства о перечне муниципального имущества, свободного от прав третьих лиц и доступного для сдачи в аренду на льготных условиях, а также использование различных форм государственной финансовой поддержки.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4. Теневой бизнес. Вредит не то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лько государству, но и организациям, работающим легально в сфере технического обслуживания. Теневой бизнес не платит налоги, взносы за своих сотрудников, поэтому получает возможность предлагать низкие цены на свои услуги, а также выплачивать более высокие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заработные платы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 своим сотрудникам. По этой причине легальный бизнес теряет своих клиентов и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выручку.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Задачи: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поддержание конкурентных условий на рынке оказания услуг по ремонту автотранспортных средств;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расширение рынка оказания услуг по ремонту автотранспортных средств;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содействие развитию негосударственного сектора на рынке оказания услуг по ре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монту автотранспортных средств;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оказание различных форм государственной финансовой поддержки работающим на рынке услуг по техническому обслуживанию и ремонту автотранспортных средств.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Цель: развитие рынка оказания услуг по ре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монту автотранспортных средств.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14606" w:type="dxa"/>
        <w:jc w:val="center"/>
        <w:tblInd w:w="1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22"/>
        <w:gridCol w:w="1518"/>
        <w:gridCol w:w="1498"/>
        <w:gridCol w:w="1498"/>
        <w:gridCol w:w="1498"/>
        <w:gridCol w:w="1493"/>
        <w:gridCol w:w="1490"/>
        <w:gridCol w:w="1490"/>
      </w:tblGrid>
      <w:tr>
        <w:tblPrEx/>
        <w:trPr>
          <w:jc w:val="center"/>
          <w:trHeight w:val="113"/>
        </w:trPr>
        <w:tc>
          <w:tcPr>
            <w:gridSpan w:val="8"/>
            <w:tcMar>
              <w:top w:w="57" w:type="dxa"/>
              <w:bottom w:w="57" w:type="dxa"/>
            </w:tcMar>
            <w:tcW w:w="14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34.2. 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13"/>
        </w:trPr>
        <w:tc>
          <w:tcPr>
            <w:tcMar>
              <w:top w:w="57" w:type="dxa"/>
              <w:bottom w:w="57" w:type="dxa"/>
            </w:tcMar>
            <w:tcW w:w="4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13"/>
        </w:trPr>
        <w:tc>
          <w:tcPr>
            <w:tcMar>
              <w:top w:w="57" w:type="dxa"/>
              <w:bottom w:w="57" w:type="dxa"/>
            </w:tcMar>
            <w:tcW w:w="4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й частной формы собственности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сфере оказания услуг по ремонту ав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тотранспортных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</w:p>
    <w:tbl>
      <w:tblPr>
        <w:tblW w:w="14783" w:type="dxa"/>
        <w:jc w:val="center"/>
        <w:tblInd w:w="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15"/>
        <w:gridCol w:w="4419"/>
        <w:gridCol w:w="3864"/>
        <w:gridCol w:w="2808"/>
        <w:gridCol w:w="2877"/>
      </w:tblGrid>
      <w:tr>
        <w:tblPrEx/>
        <w:trPr>
          <w:jc w:val="center"/>
        </w:trPr>
        <w:tc>
          <w:tcPr>
            <w:gridSpan w:val="5"/>
            <w:tcMar>
              <w:top w:w="57" w:type="dxa"/>
              <w:bottom w:w="57" w:type="dxa"/>
            </w:tcMar>
            <w:tcW w:w="14783" w:type="dxa"/>
            <w:textDirection w:val="lrTb"/>
            <w:noWrap w:val="false"/>
          </w:tcPr>
          <w:p>
            <w:pPr>
              <w:contextualSpacing/>
              <w:ind w:left="72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34.3.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81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441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86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8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87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81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34.3.1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44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мониторинга организаций, осуществляющих деятельность на рынке оказания услуг по ремонту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8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актуализация перечня действующих организаций по техническому обслуживанию и ремонту автотранспортных средств;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нализ состояния конкурентной среды на рынке ремонта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8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81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34.3.2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44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мероприятий (совещаний, круглых столов и т.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д.), направленных на выработку согла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сованных комплексных подходов к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решению задач развития рынка ремонта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8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информационной грамотности предпринимателей, осуществляющих хозяйственную деятельность на рынке ремонта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8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81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34.3.3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44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Информирование о существующих мерах поддержки в сф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ере организации деятельности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ремонту автотранспортных средств субъектов предпринимательства, осуществляющих (планирующи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 осуществлять) деятельность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рынке оказания услуг по ремонту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86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азвитие рынка оказания услуг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ремонту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8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Центр «Мой бизнес»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01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35. Рынок туристских услуг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35.1.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задачи и цели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овосибирская область занимает выгодное положение на пересечении важнейших транспортных путей, соединяя западную и восточную части Российской Федерации. Здесь расположены представительство Президента Российской Федерации в Сибирском федеральном округе, Сиби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рское отделение Российской академии наук, функционируют технологические и промышленно-логистические парки.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овосибирск является деловым и финансовым центром Сибири. Уникальным для Новосибирской области является наличие Академгородка и наукограда Кольцово, которые могут стать центром российского научного туризма. В регионе ежегодно проходят научные конференции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международные форумы, культурные и научные события международного уровня.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Инфраструктура туризма Новосибирской области включает: 378 туристических компаний, 338 отелей и хостелов, 20 санаториев, 109 баз отдыха, 50 детских оздоровительных лагерей, 16 пляжей, 119 музеев, 30 театров, 24 заказника, 54 памятника природы.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данным Росстата, за 2024 год туристический поток в Новосибирскую область составил 3,3 млн поездок. По данному показателю Новосибирская область занимает 1-е место среди регионов СФО и 9-е место в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итогам 2024 года число лиц, размещенных в коллективных средствах размещения региона, составило 1,4 млн человек. По данному показателю регион занимает 1-е место среди регионов СФО и 13-е место в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лючевым конкурентным преимуществом развития туризма в Новосибирской области является наличие потенциала для развития разнообразных видов туризма и создания множества точек притяжения, ориентированных практически на любые группы потребителей. Согласно Страт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егии актуальными для региона видами туризма являются деловой, событийный, транзитный, оздоровительный, рекреационный, культурно-познавательный, детский; перспективными - медицинский, сельский, промышленный, водный, научный, автомобильный.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азвитие туризма на территории региона может выступить в качестве драйвера социально-экономического развития муниципальных районов и городских округов Новосибирской области. Для отдельных территорий развитие туристско-рекреационного комплекса может стать 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ним из путей повышения качества жизни, активизации инвестиционной и предпринимательской деятельности, привлечения ресурсов и способствовать эффективному использованию имеющегося природного и трудового потенциала.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целях повышения уровня развития туристской инфраструктуры, а в дальнейшем активизации экспорта туристских услуг на территории региона действует государственная программа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туризма в Новосибирской области до 2030 года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утвержденная постановлением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Правительства Новосибирской области от 30.12.2021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576-п, в рамках которой на территории региона в 2024 году предоставлялись четыре меры государственной поддержки в сфере туризма: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субсидии муниципальным образованиям на реализацию мероприятий по созданию условий для развития сферы туризма, инфраструктуры досуга и отдыха на территориях муниципальных образований Новосибирской области; 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грантовая поддержка предпринимательских инициатив по развитию объектов туризма и туристской инфраструктуры Новосибирской области;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субсидия на оказание государственной поддержки инвестиционных проектов по созданию модульных некапитальных средств размещения;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убсидия 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ие туристской инфраструктуры Новосибирской области.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Существует ряд проблем, препятствующих в полной мере развитию туризма на территории Новосибирской области: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недостаточно развитая туристская инфраструктура, в том числе придорожная, а также для людей с ограниченными возможностями здоровья;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недостаточное продвижение туристского продукта на мировом и внутреннем туристских рынках;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отсутствие оборудованных площадок для экологического туризма;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замусоренность прибрежных зон водоемов и природных территорий;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недостаточно качественное дорожное покрытие к некоторым объектам показа в муниципальных образованиях.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Задачи: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поддержание конкурентных условий на рынке туристских услуг;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формирование развитой туристской инфраструктуры;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узнаваемости туристских продуктов Новосибирской области;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качества услуг в сфере туризма Новосибирской области;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смежных с туризмом отраслей.</w:t>
      </w:r>
      <w:r>
        <w:rPr>
          <w:highlight w:val="white"/>
        </w:rPr>
      </w:r>
      <w:r>
        <w:rPr>
          <w:highlight w:val="white"/>
        </w:rPr>
      </w:r>
    </w:p>
    <w:p>
      <w:pPr>
        <w:pStyle w:val="9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Цель: развитие рынка туристских услуг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2"/>
        <w:ind w:left="0" w:firstLine="709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606" w:type="dxa"/>
        <w:jc w:val="center"/>
        <w:tblInd w:w="1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35"/>
        <w:gridCol w:w="1415"/>
        <w:gridCol w:w="1348"/>
        <w:gridCol w:w="1337"/>
        <w:gridCol w:w="1346"/>
        <w:gridCol w:w="1343"/>
        <w:gridCol w:w="1354"/>
        <w:gridCol w:w="1328"/>
      </w:tblGrid>
      <w:tr>
        <w:tblPrEx/>
        <w:trPr>
          <w:jc w:val="center"/>
          <w:trHeight w:val="113"/>
        </w:trPr>
        <w:tc>
          <w:tcPr>
            <w:gridSpan w:val="8"/>
            <w:tcMar>
              <w:top w:w="57" w:type="dxa"/>
              <w:bottom w:w="57" w:type="dxa"/>
            </w:tcMar>
            <w:tcW w:w="14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35.2. 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13"/>
        </w:trPr>
        <w:tc>
          <w:tcPr>
            <w:tcMar>
              <w:top w:w="57" w:type="dxa"/>
              <w:bottom w:w="57" w:type="dxa"/>
            </w:tcMar>
            <w:tcW w:w="5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3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13"/>
        </w:trPr>
        <w:tc>
          <w:tcPr>
            <w:tcMar>
              <w:top w:w="57" w:type="dxa"/>
              <w:bottom w:w="57" w:type="dxa"/>
            </w:tcMar>
            <w:tcW w:w="51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сфере туристских услуг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3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13"/>
        </w:trPr>
        <w:tc>
          <w:tcPr>
            <w:tcMar>
              <w:top w:w="57" w:type="dxa"/>
              <w:bottom w:w="57" w:type="dxa"/>
            </w:tcMar>
            <w:tcW w:w="51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туристов, размещенных в коллективных средствах размещения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тыс. человек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952,2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962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052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1423,3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3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13"/>
        </w:trPr>
        <w:tc>
          <w:tcPr>
            <w:tcMar>
              <w:top w:w="57" w:type="dxa"/>
              <w:bottom w:w="57" w:type="dxa"/>
            </w:tcMar>
            <w:tcW w:w="5135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Объем аудитории информационных туристских ресурсов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тыс. человек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3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297,3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13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718" w:type="dxa"/>
        <w:jc w:val="center"/>
        <w:tblInd w:w="1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83"/>
        <w:gridCol w:w="4386"/>
        <w:gridCol w:w="3864"/>
        <w:gridCol w:w="2808"/>
        <w:gridCol w:w="2759"/>
        <w:gridCol w:w="118"/>
      </w:tblGrid>
      <w:tr>
        <w:tblPrEx/>
        <w:trPr>
          <w:gridAfter w:val="1"/>
          <w:jc w:val="center"/>
        </w:trPr>
        <w:tc>
          <w:tcPr>
            <w:gridSpan w:val="5"/>
            <w:tcMar>
              <w:top w:w="57" w:type="dxa"/>
              <w:bottom w:w="57" w:type="dxa"/>
            </w:tcMar>
            <w:tcW w:w="14600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35.3.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78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4386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86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808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Mar>
              <w:top w:w="57" w:type="dxa"/>
              <w:bottom w:w="57" w:type="dxa"/>
            </w:tcMar>
            <w:tcW w:w="287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78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35.3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4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товка и размещение информации 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уристском потенциале Новосибирской области на официальном сайте министерства экономического развития Новосибирской области, Инвестиционном портале Новосибирской области, Туристическом портале Новосибирской области, в областных, федеральных и международных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 xml:space="preserve">средствах массовой информации,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 также в 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8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узнава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емости Новосибирской области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внутреннем и внешнем туристских рынках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8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Mar>
              <w:top w:w="57" w:type="dxa"/>
              <w:bottom w:w="57" w:type="dxa"/>
            </w:tcMa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57" w:type="dxa"/>
              <w:bottom w:w="57" w:type="dxa"/>
            </w:tcMar>
            <w:tcW w:w="783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35.3.2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4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Проведение информационных туров (пресс-туров), круглых столов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, конференций, семинаров,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промо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акций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по вопросам развития туристской индустрии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3864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узнава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емости Новосибирской области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внутреннем и внешнем туристских рынках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8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Mar>
              <w:top w:w="57" w:type="dxa"/>
              <w:bottom w:w="57" w:type="dxa"/>
            </w:tcMa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00"/>
        <w:jc w:val="center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III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val="en-US"/>
        </w:rPr>
        <w:t xml:space="preserve"> </w:t>
      </w:r>
      <w:r>
        <w:rPr>
          <w:sz w:val="28"/>
          <w:szCs w:val="28"/>
          <w:highlight w:val="white"/>
        </w:rPr>
        <w:t xml:space="preserve">Системные мероприятия, направленные на развитие конкуренции в 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tbl>
      <w:tblPr>
        <w:tblStyle w:val="993"/>
        <w:tblW w:w="14907" w:type="dxa"/>
        <w:jc w:val="center"/>
        <w:tblInd w:w="799" w:type="dxa"/>
        <w:tblLayout w:type="fixed"/>
        <w:tblLook w:val="04A0" w:firstRow="1" w:lastRow="0" w:firstColumn="1" w:lastColumn="0" w:noHBand="0" w:noVBand="1"/>
      </w:tblPr>
      <w:tblGrid>
        <w:gridCol w:w="735"/>
        <w:gridCol w:w="4187"/>
        <w:gridCol w:w="4329"/>
        <w:gridCol w:w="2342"/>
        <w:gridCol w:w="3314"/>
      </w:tblGrid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Ключевое событие/результат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Исполнитель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397"/>
        </w:trPr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1. Развитие конкурентоспособности товаров, работ, услуг субъектов малого и среднего предпринимательства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эффективности поддержки предприятий и индивидуальных предпринимателей с целью организации поставок продукции собственного производства, в том числе на зарубежные рынки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ежегодный рост объема отгруженных товаров собственного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и проведение выставок или ярмарок, организация деловых миссий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эффективности выставочной деятельности как одн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ого из рычагов развития рынков.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внутреннего рынка Новосибирской области, наполнение его качественными конкурентоспособными товарами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и обеспечение функционирования портала «Малое и среднее предпринима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тельство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уровня информированности субъектов малого и среднего предпринимательства о возможностях для развития бизнеса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Взаимодействие с представителями ассоциаций фармацевтических работников, руководителями фармацевтических организаций по вопросам осуществления фармацевтической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обратной связи, направленной на повышение эффективности и доступности процедуры по выдаче лицензий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Минздрав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Оказание методической и консультационной помощи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убъектам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вопросам лицензирования фармацевтической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доступ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ности государственной услуги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лицензированию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Минздрав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1.6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и проведение совещаний, семинаров, круглых столов и других мероприятий по развитию предпринимательства на территории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уровня знаний предпринимателей по ведению предпринимательской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обеспечение субъектов малого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среднего предпринимательства актуальной информацией по вопросам развития и поддержки малого и среднего предпринимательства в Новосибирской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субъектов малого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среднего предпринимательства квалифицированными кадрами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1.7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Актуализац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ия раздела по развитию малого и среднего предпринимательства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официальных сайтах муниципальных образований.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Размещение информации о мерах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инфраструктуре поддержки субъектов малого и среднего предпринимательства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включая отдельный подраздел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производителей сельскохозяйственной продукции)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информированности предпринимательских сообществ муни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ципальных образований региона 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принятых мерах по улучшению общих условий ведения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9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1.8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Правовое просвещение субъектов предпринимательской деятельности по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вопросам защиты их прав и законных интересов 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анами государственной власти,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том числе путем участия в научно-практич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еских конференциях, семинарах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иных публичных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уровня юридической грамотности субъектов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 защите прав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1.9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ие и ведение реестра площадок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высокой степенью готовности для приема инвесторов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открытых информационных данных для инвесторов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Корпорация развития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49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Ведение Инвестиционного портала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актуального информационного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951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1.11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рейтинга муниципальных районов и муниципальных, городских округов Новосибирской области в части их деятельности по содействию развитию конкур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енции и обеспечению условий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благоприятного инвестиционного климата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рейтинг муниципальных районов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муниципальных, городских округов Новосибирской области в части их деятельности по содействию развитию конкур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енции и обеспечению условий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благоприятного инвестиционного климата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56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1.12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Размещен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ие информации о деятельности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содействию раз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витию конкуренции и соответствующих материалов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официальном сайте министерства экономического развития Новосибирской области и Инвестиционном портале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информационная открытость 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деятельности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624"/>
        </w:trPr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 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  <w:r>
              <w:rPr>
                <w:rStyle w:val="1018"/>
                <w:rFonts w:ascii="Times New Roman" w:hAnsi="Times New Roman" w:cs="Times New Roman"/>
                <w:sz w:val="24"/>
                <w:szCs w:val="24"/>
                <w:highlight w:val="white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закупок у субъектов малого предп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ринимательства в соответствии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Федеральным законом от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05.04.2013 № 44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7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оля конкурентных закупок с субъектами малого предпринимательства в общем совокупном годовом объеме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ых и муниципальных нужд»: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87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 год - 35 %;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87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 год - 40 %;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87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 год - 40 %;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87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 год - 40 %;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87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 год - 35 %;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87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 год - 35 %;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87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 год - 25 %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 - 25 %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ОИО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49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Осуществление закупок конкурентными способами определения поставщиков (подрядчиков, исполнителей)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в соответствии с Федеральным законом от 05.04.2013 № 44-ФЗ «О контрактной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системе в сфере закупок товаров, работ, услуг для обеспечени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я государственных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нее число участников закупок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результатам конкурентных способов определения поставщиков (подрядчиков, исполнителей) в соответствии с  Федеральным законом от 05.04.2013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44-ФЗ «О контрактной системе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сфере зак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упок товаров, работ, услуг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обеспечения государственных и 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2,8 участника</w:t>
            </w:r>
            <w:r>
              <w:rPr>
                <w:rStyle w:val="1018"/>
                <w:rFonts w:ascii="Times New Roman" w:hAnsi="Times New Roman" w:cs="Times New Roman"/>
                <w:sz w:val="24"/>
                <w:szCs w:val="24"/>
                <w:highlight w:val="white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ОИО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93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Представление в контрольное управление Новосибирской области аналитических отчетов о достижении заказчиками ключевых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эффективности, направленных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конкуренции в сфере закупок,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запросам контрольного управления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прозрачности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и доступности закупок товаров, работ, услуг, в том числе снижение количества осуществления закупок неконкурентным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способом, расширение участия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закупках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ОИО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72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-консультационных семинаров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поставщиков, подрядчиков, исполнителей о порядке уча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стия в закупочных процедурах,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том числе по вопросам участия в малых закупках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расширение количества участников закупочн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ой деятельности, в том числе за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счет расширения участия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в закупках субъектов малого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ГКУ НСО «Управление контрактной системы»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3. Повышение качества управления закупочной деятельностью субъектов естественных монополий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и компаний с государственным участием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759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Оказание правовой,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и информационной поддержки субъектам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в целях стимулирования их развития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в качестве потенциальных поставщиков компаний с государственным участием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прирост объема закупок у субъектов малого и среднего предпринимательства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4. Устранение избыточного государственного и муниципального регулирования,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снижение административных барьеров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4.1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от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26.07.2006 № 135-ФЗ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«О 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снижение административных барьеров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ОИО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4.2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Перевод государственных и муниципальных услуг, связанных со сферой пред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принимательской деятельности,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электронную форму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снижение временных и финансовы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 издержек предпринимателей при получении государственных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ипальных услуг, связанных со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сферой предпринимательской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Минцифра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ОИО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4.3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Оптимизация процесса предоставления госуд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арственных услуг, относящихся к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мочиям Новосибирской области, 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также муниципальных услуг для субъектов предпринимательской деятельности, в том числе путем сокращения сроков их оказания, коли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чества необходимых документов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снижения стоимости предоставления таких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качества и доступности предоставления государственных услуг, относящихся к полномочиям Новосибирской области, а также муниципальных услуг для субъектов предпринимательской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ОИО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4.4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предоставления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осударственных, муниципальных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дополнительных (сопутствующих) услуг субъектам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в специализированных офисах ГАУ НСО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«МФЦ»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(«МФЦ для бизнеса»)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соде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йствие обеспечению свободного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равного доступа представителей бизне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с-сообщества ко всем ресурсам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преференциям государства, повышение качества взаимодействия бизнеса и государства путем внедрения новых услуг и сервисов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Минэкономразвития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ГАУ НСО «МФЦ»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4.5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мероприятий по информированию бизнес-сообществ об институте оценки регулирующего воздействия, о проводимых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публичных консультациях, подготовленных заключениях, достигнутых результатах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информированности предпринимателей об институте оценки регулирующего воздействия,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вовлеченности бизнеса в процесс нормотворчества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Минэкономразвития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ОИО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5. Совершенствование процессов управления в рамках полномочий ОИО НСО и ОМСУ НСО,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закрепленных за ними законодательством Российской Федерации, объектами государственной собственности субъекта Российской Федерации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муниципальной собственности, ограничение влияния государственных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и муниципальных предприятий на конкуренцию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5.1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Разработка, утверждение и выполнение комплексного плана по эффективном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 управлению государственными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муниципальными предприяти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ями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иями, акционерными обществами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государственным участием, государственными и муниципальными некоммерческими организациями, осуществляющими предп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твенных унитарных предприятий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пакетов акций акционерных об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эффективное управление государственными и муниципальными предприятиями и учрежден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иями, акционерными обществами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государственным участием, государственными и муниципальными некоммерческими организациями, осуществляющими предпринимательскую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ОИО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ОИО НСО, осуществляющие права акционера (участника)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 имени Новосибирской области в хозяйственных обществах, акции (доли) которых находятся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государственной собст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венности Новосибирской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5.2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и проведение продажи государственного имущества Новосибирской области, включенного в прогнозный план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приватизации государственного имущества Новосибирской области, в электронной форме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объектов недвижимости, пла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нируемых к приватизации, к 2025</w:t>
            </w:r>
            <w:r>
              <w:rPr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году должно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оставлять не менее 15 единиц в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ДИиЗО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5.3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и проведение публичных торгов или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иных конкурентных процедур при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реализации имущества хозяйствующими субъектами, доля участия субъекта Российской Федерации или муниципального образования в которых составляет 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% и более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объектов недвижимости, выставленных на торгах, к общему количеству объектов недвижимости, включенных в прогнозный план приватизации государственного иму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щества Новосибирской области, к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 году – 100%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ОИО НСО, осуществляющие права акционера (участника)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 имени Новосибирской области в хозяйственных обществах, акции (доли) которых находятся 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государственной собственности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5.4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Создание условий, согласно которым хозяйствующие субъекты, доля участия субъекта Российской Федерации или муниципального образования в которых составляет 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% и более, при допуске к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участию в закупках 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муницип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альных нужд принимают участие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указанных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закупках на равных условиях (с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дением конкурентных процедур)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иными хозяйствующими субъектами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осуществление закупок 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муниципальных нужд осуществляется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с положениями Федерального закона от 05.04.2013 № 44-ФЗ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«О контрактной системе в сфере закупок товаров, работ, услуг 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муниципальных нужд»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ОИО НСО, осуществляющие права акционера (участника)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 имени Новосибирской области в хозяйственных обществах, акции (доли) которых находятся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государственной собственности Новосибирс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30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5.5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земельных участков, находящихся в государственной или муниципальной собственности, юридическим лицам в аренду без проведени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я торгов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размещения объектов физической кул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ьтуры и спорта в соответствии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действующим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упрощение доступа инвесторам к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земельным ресурсам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МФКиС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ДИиЗО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ОМСУ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30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5.6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Приватизация или передача в аренду объектов недвижимого имущества, находящихся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собственности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соответствии с действующим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оступление ежегодно в областной бюджет Новосибирской области доходов от продажи и аренды недвижимого имущества Новос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ибирской области в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размере не менее 40 млн рублей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2020–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ДИЗО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30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5.7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Продажа или передача в аренду земельных участков, находящихся в государственной собств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енности Новосибирской области 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находящихся на территории Новосибирской агломерац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ии, собственность на которые не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разграничена,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соответствии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действующим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овле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чение в хозяйственный оборот не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менее 700 га земельных участков ежегодно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2020–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zh-CN"/>
              </w:rPr>
              <w:t xml:space="preserve">ДИЗО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510"/>
        </w:trPr>
        <w:tc>
          <w:tcPr>
            <w:gridSpan w:val="5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6. Создание условий для недискриминационного доступа хозяйствующих субъектов на товарные рынки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1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6.1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хозяйствующим субъектам мер государственной и муниципальной поддержки на равных условиях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создание прозрачных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недискриминационных условий доступа на товарные рынки региона хозяйствующим субъектам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ОИО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42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6.2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Размещение на сайте Правительства Новосибирской области в разделе «Бизнесу» информации о мерах государственной поддержки организаций по сферам деятельности, а также субъектов МСП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информационная открытость о мерах государственной поддержки органи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заций по сферам деятельности, 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также субъектов МСП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Минэкономразвития 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Минобразования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Миннауки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Минсельхоз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680"/>
        </w:trPr>
        <w:tc>
          <w:tcPr>
            <w:gridSpan w:val="5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7. Обеспечение и сохранение целевого использования государственных (муниципальных) объектов недвижимого имущества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в социальной сфере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304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7.1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Формирование перечня государственных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br/>
              <w:t xml:space="preserve">и муниципальных объектов недвижимого имущес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тва, включая не используемые по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назначению, в отношении которых планируется заключение соглашений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br/>
              <w:t xml:space="preserve">с применением механизмов государственно-частного партнерства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-частного партнерства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br/>
              <w:t xml:space="preserve">в сфере дошкольного образования, детского отдыха и оздоровления, здравоохранения, социального обслуживания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перечень объектов, находящихся в собственности Новосибирской области, в отношении которых 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ируется заключение соглашений с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применением механизмов государственно-частного партнерства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Минэкономразвития НСО;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Минобразования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Минздрав НСО;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highlight w:val="white"/>
                <w:lang w:eastAsia="ru-RU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highlight w:val="white"/>
                <w:lang w:eastAsia="ru-RU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highlight w:val="white"/>
                <w:lang w:eastAsia="ru-RU"/>
              </w:rPr>
              <w:t xml:space="preserve"> НСО;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191"/>
        </w:trPr>
        <w:tc>
          <w:tcPr>
            <w:gridSpan w:val="5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8. Содействие развитию практики применения мех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анизмов государственно-частного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-частного партнерства, в том числе практики заключения концессионных соглашений, в социальной сфере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(детский отдых и оздоровление, спорт, здравоохранение, социальное обслуживание, дошкольное образование, культура,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развитие сетей подвижной радиотелефонной связи в сельской местности, малонаселенных и труднодоступных районах)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8.1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Актуализация региональной и муниципальной нормативной правовой базы, регулирующей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применение механизмов государственно-частного партнерства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-частного партнерства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механизмов госуда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рственно-частного партнерства 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муниц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-частного партнерства, в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том числе в части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подготовки, заключения, исполнения и прекращения концессионных соглашений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Минэкономразвития НСО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 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8.2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Организация и проведение образовательных семинаров, подготовка методических 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повышение информированности 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применении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механизмов государственно-частного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-частного партнерства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8.3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Заключение соглашений с применением механизмов государственно-частного партнерства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-частного партнерства в сфере дошкольного образования, детского отдыха и оздоровления, здравоохранения, социального обслуживания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реестр соглашений о государственно-частном партнерстве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-частном партнерстве, концессионных соглашений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во 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9. Содействие развитию негосударственных (немуниципальных) социально ориентированных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некоммерческих организаций и «социального предпринимательства»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9.1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анализа нормативных правовы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 актов Новосибирской области 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предоставлении субсидий и компенсаций негосударственным организациям на предмет соответствия федеральному законодательству с последующим внесением изменений в случае необходимости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снижение административных барьеров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9.2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Освещение эффективных практик предоставления негосударственными организациями услуг населению, в целях преодоления трудной жизненной ситуации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информированности населения о социальных  услугах, предоставляемых негосударственными организациями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9.3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ация взаимодействия Минтруда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соцразвития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НСО, подведомственных 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 государственных учреждений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организаторами добровольческо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й (волонтерской) деятельности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добровольческими (волонтерскими) организациями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расширение спектра, качества и объема социальных услуг.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качества жизни клиентов государственных учреждений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9.4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работы по включению негосударственных организаций в реестр поставщиков социальных услуг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сектора негосударственных 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анизаций, оказывающих услуги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социальному обслуживанию населения, в рамках реализации Федерального </w:t>
            </w:r>
            <w:hyperlink r:id="rId13" w:tooltip="consultantplus://offline/ref=AAFBC32F7EC24F85AC0E98BEDE9D89D4BF6D06C8E9FAD03FD44CF525C38F38DE2E75A0A93DBD8698C0F8BE33EAvDw5E" w:history="1">
              <w:r>
                <w:rPr>
                  <w:rFonts w:ascii="Times New Roman" w:hAnsi="Times New Roman" w:cs="Times New Roman"/>
                  <w:sz w:val="24"/>
                  <w:szCs w:val="24"/>
                  <w:highlight w:val="white"/>
                </w:rPr>
                <w:t xml:space="preserve"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28.12.2013 № 442-ФЗ «Об основах социального обслуживания граждан в Российской Федерации»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964"/>
        </w:trPr>
        <w:tc>
          <w:tcPr>
            <w:gridSpan w:val="5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10. Стимулирование новых предпринимательских инициатив за счет проведения образовательных мероприятий, обеспечивающих возможности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поиска, отбора и обучения потенциальных предпринимателей, в том числе путем разработки и реализации региональной программы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ускоренному развитию субъектов малого и среднего предпринимательства и достижения показателей ее эффективности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10.1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Поддержка и проведение конкурсов среди субъектов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предпринимательства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далее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СМиСП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 по выявлению лучших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СМиСП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пропаганда идеологии предпринимательства, выявление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лучших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СМиСП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стимулирование производства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реализации качественных товаров, работ и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10.2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обучающих семинаров,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курсов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вопросам осуществления предпринимательской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печение участия в семинарах,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курсах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СМиСП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осуществляющих деятельность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террито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риях муниципальных образований;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СМиСП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квалифицированными кадрами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304"/>
        </w:trPr>
        <w:tc>
          <w:tcPr>
            <w:gridSpan w:val="5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11. Развитие механизмов поддержки технического и научно-технического творчества детей и молодежи, обучения их правовой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поддержки научной, творческой 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предпринимательской активности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Реализация (поддержка) программ дополнительного профессионального обучения актуальным навыкам и профессиям цифровой экономики для переподготовки кадров, в том числе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с возможностью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азвитие у обучающихся навыков и компетенций, необходимых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цифровой экономики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Минобразования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5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12. Повышение в субъекте Российской Федерации цифровой грамотности населения,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государственных гражданских служащих и работников бюджетной сферы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Реализация регионального проекта «Цифровая образовательная среда»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создание цифровой образовательной среды и формирование IT-компетенций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Минобразования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региональный ресурсный центр развития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12.2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обучения гражданских служащих цифровы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 компетенциям, необходимым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исполнения должностных обязанностей гражданскими служащими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овышение уровня цифровых знаний, 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ений и навыков, необходимых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исполнения должностных обязанностей гражданскими служащими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департамент организации 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государственной гражданской службы администрации Губернатора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Правительства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964"/>
        </w:trPr>
        <w:tc>
          <w:tcPr>
            <w:gridSpan w:val="5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13. Выявление одаренных детей и молодежи, развитие их талантов и способностей,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в том числе с использованием механизмов наставничества и дистанционного обучения в электронной форме,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а также социальная поддержка молодых специалистов в различных сферах экономической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13.1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рег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ионального ресурсного центра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работе с одаренными детьми Новосибирской области «Детский технопарк» на базе Центра информационных технологий Технопарка Академгородка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выявление и поддержка одаренных детей и талантливой учащейся молодежи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Минобразования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13.2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егионального центра выявления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поддержки одаренных детей «Альтаир»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выявление и поддержка одаренных детей и талантливой учащейся молодежи, сопровождение и мониторинг их дальнейшего развития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Минобразования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13.3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мер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оддержки молодым специалистам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различных сферах экономической деятельности (здравоохранение, образова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ние, сельское хозяйство и др.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оддержка молодых специалистов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различных сферах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ОИО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757"/>
        </w:trPr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14. Обеспечение равных условий доступа к информации о государственном имуществе субъекта Российской Федер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ации и имуществе, находящемся в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собственности муниципальных образований, в том числе имуществе, включаемом в перечни для предоставления на льг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отных условиях субъектам малого и среднего предпринимательства, о реализации такого имущества или предоставлении его во владение и (или) пользование, а также о ресурсах всех видов, находящихся в государственной собственности субъекта Российской Федерации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муниципальной собственности, путем размещения указанной информации на официальном сайте Российской Федерации в 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14.1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Размещение информации об имуществе, находящемся в государственной собственно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сти Новосибирской области, из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Реестра государственной собственности Новосибирской области в сети «Интернет»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ещение актуальной информации об имуществе, находящемся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государственной собственности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ДИиЗО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14.2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Размещение перечня государственного имущества Новосибирской области, свободного от прав третьих лиц (за исключением имущественных прав субъектов малого и среднего предпринимательства), указанных в части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 статьи 18 Федерального закона от 24.07.2007 № 209-ФЗ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сети «Интернет»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сданного в аренду имущества, включенного в перечень государственного имущества Новос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ибирской области, свободного от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прав третьих лиц (за исключением имущественны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 прав субъектов малого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еднего предпринимательства),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70%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ДИиЗО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3051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14.3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Актуализация на официальных сай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тах муниципальных образований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информационно-телекоммуникационной сети «Интернет» информации об объектах, находящихся в муниципальной собственности, включая сведения о наименованиях объектов, их мес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тонахождении, характеристиках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целевом назначении объектов, существующих ограничениях их использования и обременениях правами третьих лиц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ещение актуальной информации об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имуществе, 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аходящемся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5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15. Мобильность трудовых ресурсов, способствующая повышению эффективности труда, включающая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в том числе привлечение высококвалифицированной рабочей силы из-за рубежа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(приоритетом являются научно-технологические кадры)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15.1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Мониторинг и прогнозирование перспективной кадровой потребности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организаций Новосибирской области с учетом реализации 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регионального рынка тру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 квалифицированными кадрами в соответствии с текущими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перспективными потребностями экономики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2019-2026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Минобразования НСО; Минздрав НСО;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340"/>
        </w:trPr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16. Развитие механизмов практико-ориентированного (дуального) образования и механизмов кадрового обеспечения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высокотехнологичных отраслей промышленности по сквозным рабочим профессиям (с учетом стандартов и разработок международной организации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Ворлдскиллс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Интернешнл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WorldSkills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International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), а также содействие включению обучающихся, выпускников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и молодых специалистов с инвалидностью или ограниченными возможностями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доровья в трудовую деятельность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 учетом стандартов и разработок Международной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Абилимпикс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International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Abilympic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Federation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40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16.1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Дальнейшее развитие дуального обучения как формы эффективного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с работодателями в сфере подготовки кадров, включая заключение договоров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по целевому обучению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количества выпускников, трудоустроенных по полученной профессии по месту прохождения производственной практики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Минобразования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15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16.2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мониторинга о ходе трудоустройства выпускников профессиональных образовательных учреждений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количества выпускников, трудоустроенных по полученной профессии по месту прохождения производственной практики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Минобразования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680"/>
        </w:trPr>
        <w:tc>
          <w:tcPr>
            <w:gridSpan w:val="5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17. 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91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17.1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мер государственной поддержки управляющим компаниям технопарков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оздание условий для генерации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вития инновационных компаний, 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также успешного развития действующих высокотехнологичных предпр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иятий, превращение их в одну из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основных движущих сил экономического роста региона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Миннауки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69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17.2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мер государственной поддержки бизнес-инкубаторам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создание благоприятной экономической среды для субъектов инновационной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стартапов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прошедших обучение в бизнес-инкубаторе технопарка Новосибирского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Академгородка, в действующие на территории региона компании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рекомендованны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резиденты бизнес-инкубаторов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Миннауки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41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17.3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Создание городской площадки бизнес-инкубатора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Академпарка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при ключевых вузах г. Новосибирска, организация менторского сопровождения из числа специалистов инновационных компаний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технологических мощностей техн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опарков и бизнес-инкубаторов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Минобразования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020"/>
        </w:trPr>
        <w:tc>
          <w:tcPr>
            <w:gridSpan w:val="5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18. Содействие созданию и развитию институтов подд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0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18.1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Содействие субъектам инновационной деятельности в развитии и продвижении инновационных проектов и создании условий для инновационного развития предприятий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подготовка проектов субъектов инновационной деятельности к участию в конкурсах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и представлению инвесторам: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инновационных проектов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на ярмарках, выставках, форумах;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проектов бизнес-планов инновационных проектов.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и проведения обучающих мероприятий для предста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вителей инновационных компаний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 вопросам развития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и продвижения инновационных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– не менее трех мероприятий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виде тренингов,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коучингов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семинаров (ежегодно)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ГАУ НСО «Новосибирский областной инновационный фонд» 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Миннауки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01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18.2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форума технологического развития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Технопром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продвижение отечественных научных разработок и инноваций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Миннауки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Минцифра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НСО; 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779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18.3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ежегодного Международного форума индустриально-парковых проектов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InPark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ение инновационной активности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ее поддержка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Корпорация развития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955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Размещение на портале Правительства Новосибирской области актуальной информации о технопарках и бизнес-инкубаторах Новосибирской области, включая показатели эффектив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ности их работы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условия оказания услуг потенциальным резидентам и инвесторам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оздание информационной среды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услугам технопарков и бизнес-инкубаторов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Миннауки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  <w:t xml:space="preserve">;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467"/>
        </w:trPr>
        <w:tc>
          <w:tcPr>
            <w:gridSpan w:val="5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Создание условий для повышения финансовой грамотности населения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77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19.1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Информирование о событиях и мероприятиях по повышению финансовой грамотности населения Новосибирской области на сайте министерства финансов и налоговой политики Новоси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бирской области, в том числе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запросу заинтересованных лиц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уровня информированности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МФ и НП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91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19.2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образовательных, обучающих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для всех уровней образования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профессионального педагогического сообщества (лекции, семинары, мастер-классы, воспитательные часы,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квесты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консультации, экскурсии, круглые столы, конференции)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повышение финансовой грамотности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Минобразования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Сибирское ГУ Банка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органы управления образованием муниципальных районов и муниципальных, городских округов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7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19.3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и участие 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по направл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ению деятельности «Подготовка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квалификации педагогических работников» (лекции, семинары, консультации, мастер-классы, совещания, круглые столы, заседания рабочих групп)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повышение финансовой грамотности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инобразования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ГАУ ДПО НСО «Новосибирский центр развития профессионального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727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19.4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просветительских мероприятий по финансовой грамотности для различных категорий граждан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повышение финансовой грамотности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Сибирское ГУ Банка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27"/>
        </w:trPr>
        <w:tc>
          <w:tcPr>
            <w:shd w:val="clear" w:color="ffffff" w:fill="ffffff"/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vMerge w:val="restart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vMerge w:val="restart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мероприятий 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82"/>
              <w:ind w:left="0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просветительской кампании 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сфере повышения финансовой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грамотности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vMerge w:val="restart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повышение финансовой грамотности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vMerge w:val="restart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vMerge w:val="restart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АНО «Дом финансового просвещения»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5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20. Увеличение доли опрошенного населения, положительно оценивающего удовлетворенность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(полностью или частично удовлетворенного) работой хотя бы одного типа финансовых организаций,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осуществляющих свою деятельность на территории субъекта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20.1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Реализация проекта по повышению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финансовой доступности 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муниципальных образованиях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велич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ение количества точек доступа к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финансовым услугам и/или качества и/или ассортимента оказываемых финансовых услуг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2025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Сибирское ГУ Банка России 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ОМСУ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5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21. Повышение доступности финансовых услуг для субъектов экономической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Сопровожд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ение информационного стенда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субъектов малого и среднего предпринимательства на базе Центра «Мой бизнес»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уровня информированности  субъектов МСП о доступе к финансовым ресурсам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ибирское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ГУ Банка России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21.2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предоставления субъектам малого и среднего предпринимательства услуг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не менее 7 услуг через ГАУ НСО «МФЦ»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  <w:t xml:space="preserve">Минэкономразвития НСО;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  <w:t xml:space="preserve">ДИиЗО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  <w:t xml:space="preserve"> НСО;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  <w:t xml:space="preserve">Минпромторг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  <w:t xml:space="preserve"> НСО;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ГАУ НСО «МФЦ»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21.3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мероприятий для субъектов малого 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среднего предпринимательства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популяризации и обучению практическому примене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нию финансовых инструментов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развития бизнеса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повышение доступности финансовых услуг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Сибирское ГУ Банка России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5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22. Выравнивание условий конкуренции как в рамках товарных рынков внутри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(включая темпы роста цен), так и между субъектами Российской Федерации (включая темпы роста и уровни цен)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Заключение соглашений о торгово-экономическом, научно-техническом, социально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 и культурном сотрудничестве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другими субъектами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внешнеэкономического, приграничного и межрегионального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Минэкономразвития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Миннауки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Минкульт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22.2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презентаций торгово-эконом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ического, научно-технического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культурно-образовательного потенциала Новос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ибирской области за рубежом и 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субъектах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внешнеэкономического, приграничного и межрегионального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Минэкономразвития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Миннауки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Минкульт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22.3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Принятие мер, направл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енных на недопущение барьеров для движения товаров в любых их формах: от прямого запрета на перемещение товаров через региональные (муниципальные) границы до установления дополнительных требований к реализуемой на территории Новосибирской области продукции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выравнивание условий конкуренции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481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22.4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Содействие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выставочно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-ярмарочной деятельности в целях продвижения продукции субъекто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малого предпринимательства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межрегиональные и региональные рынки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выравнивание условий конкуренции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778"/>
        </w:trPr>
        <w:tc>
          <w:tcPr>
            <w:gridSpan w:val="5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23. Обучение государственных 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38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23.1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совещаний, семинаров, круглых столов по вопросам реализации государственной политики в области развития конкуренции и антимонопольного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компетентности государственных служащих по вопросам 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действия развитию конкуренции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ОИО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84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23.2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и проведение для органов местного самоуправления обучающих мероприятий и тренингов по вопросам содействия развитию конкуренции, повышения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качества процессов, связанных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доставлением услуг, влияющих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конкуренции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компетентности руководителей и специалистов органов местного самоуправления по вопросам 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действия развитию конкуренции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муниципальных образованиях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35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23.3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ормирование ОИО НСО, ОМСУ НСО 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проведении обучающих мероприятий, проводимых Министерством экономического развития Российской Федерации, ФАС России и другими федеральными органами власти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информированность ОИО НСО и ОМСУ НСО о возможности обновления теоретических и практических знаний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624"/>
        </w:trPr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24. 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Разработка и утверждение административного регламента предоставления муниципальной услуги по выдаче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разрешения на строительство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целей возведения (создания) антенно-мачтовых сооружений (объектов) для услуг связи</w:t>
            </w:r>
            <w:r>
              <w:rPr>
                <w:rStyle w:val="1018"/>
                <w:rFonts w:ascii="Times New Roman" w:hAnsi="Times New Roman" w:cs="Times New Roman"/>
                <w:sz w:val="24"/>
                <w:szCs w:val="24"/>
                <w:highlight w:val="white"/>
              </w:rPr>
              <w:footnoteReference w:id="5"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62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24.1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Актуализация административного регламента предост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авления муниципальной услуги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выдаче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разрешения на строительство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целей возведения (создания) антенно-мачтовых сооружений (объектов) для услуг связи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тимизация (повышение качества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доступности)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624"/>
        </w:trPr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25. Организация в государственных жилищных инспекциях в субъектах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горячей телефонной линии, а также электронной формы обратной связи в сети «Интернет»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93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25.1.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Рассмо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трение обращений, поступивших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ГЖИ НСО по горячей телефонной линии, 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также путем использования электронной формы 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братной связи в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возможностью прикрепления файлов фото- и видеосъемки)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оперативное рассмотрение поступивших обращений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ГЖИ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871"/>
        </w:trPr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26. Разработка и утверждение административного регламента предоставления муниципаль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ной услуги по выдаче разрешения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 строительство и административного регламента предоставления муниципальной услуги по вы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даче разрешений на ввод объекта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эксплуатацию при осуществлении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26.1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Актуализация административного регламента предост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авления муниципальной услуги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выдач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 разрешения на строительство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административного регламента предост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авления муниципальной услуги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 разрешений на ввод объекта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эксплуатацию при осуществлении строительства, реконструкции объектов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в соответствии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действующим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тимизация (повышение качества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доступности)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26.2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Размещение на официальных сайтах муниципальных образований административного регламента предост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авления муниципальной услуги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выдач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 разрешения на строительство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административного регламента предост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авления муниципальной услуги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 разрешений на ввод объекта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эксплуатацию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информированности хозяйствующих субъектов по вопросам получения разрешения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разрешения на ввод объекта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эксплуатацию при осуществлении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2019-2026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26.3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Мониторинг размещения на официальных сайтах муниципальных образований актуального административного регламента предост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авления муниципальной услуги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выдач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 разрешения на строительство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актуального административного регламента предост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авления муниципальной услуги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 разрешений на ввод объекта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эксплуатацию при осуществлении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оля размещенных на официальных сайтах муниципальных образований Новосибирской области актуальных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административных регламентов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выдаче разрешения на строительство и актуального административного регламента предоставления муниципальной услуги по выда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 разрешений на ввод объекта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эксплуатацию при осуществлении строительства, реконструкции объектов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100%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547"/>
        </w:trPr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Дополнительные системные мероприятия, обеспечивающие достижение установленных результатов (целей),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направленные на развитие конкурентной среды в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680"/>
        </w:trPr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27. Создание условий для развития конкуренции на рынке строительства, в том числе путем создания условий максимального благоприятствования хозяйствующим субъектам при входе на рынок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обучения и повышения квалификации представителей органов власти, участвующих в осуществлении процедур, необходи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мых для получения разрешения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квалификации представителей органов власти, участвующих в осуществлении процедур, необходимых для получения разрешения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Минстрой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Размещение на сайте министерства строительства Новосибирской области актуальной информации о прохождении процедур, необходимых для получения разрешения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повышение информированности получателей услуги о выдаче разрешения на строительство путем обеспечения актуального информационного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Минстрой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Создание и ре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ализация механизмов общественного контроля за деятельностью субъектов естественных монополий, повышение уровня информированности субъектов предпринимательской деятельности и потребителей товаров, работ, услуг о деятельности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28.1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заседаний межотраслевого совета потребителей по вопросам деятельности субъектов естественных моноп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олий при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Губернаторе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осуществление общественного контроля за деятельностью субъектов естественных монополий,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осуществляющих деятельность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не реже одного раза в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полугодие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департамент по тарифам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28.2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Размещение информации в разделе «Межо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траслевой совет потребителей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вопросам деятельности субъектов естественных монополий при Губернаторе Новосибирской области», предназначенно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для проведения общественных обсуждений проектов инвестиционных программ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вопросов установления (изменения) тарифов на товары и услуги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ведение позиции потребителей до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сведения ОИО НСО, уполномоченных на утверждение инвестиционных программ суб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ъектов естественных монополий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осуществление контроля их реализации, разработку проектов стратегических документов Новосибирской области, осуществление государственного регулирования цен (тарифов) на товары и услуги субъектов естественных монополий.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Достижение баланса интересов потребителей и субъектов естественных монополий, обеспечивающего доступность реализуемых субъектами естественных монополий товаров и услуг для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департамент по тарифам НСО;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Минцифра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28.3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контроля за раскрытием информации и деятельностью субъектов естественных монополий (в рамках полномочий, закрепленных законодательством Российской Федерации)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раскрытие информации и деятельности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ОИО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28.4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ние доступности и наглядности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сети «Интернет» информации о свободных резер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вах трансформаторной мощности с указанием и отображением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Инвестиционной карте Новосибирской области ориентировочного места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подключения (технологического присоединения) к сетям территориальных сетевых организаций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110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доступность и наглядность в сети «Интернет» информации об услугах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МЖКХиЭ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Минэкономразвития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Минцифра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28.5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ние доступности и наглядности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сети «Интернет» информации, отображающей на Инвестиционной карте Новосибирской области ориентировочное место подключения (технологического присоединения) к сетям газораспределительных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доступность и наглядность в сети «Интернет» информации об услугах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МЖКХиЭ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Минэкономразвития НСО;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Минцифра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28.6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ние доступности и наглядности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сети «Интернет» информации об услугах, оказываемых в электронном виде субъ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ектами естественных монополий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ресурсоснабжающими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организациями физическим и юридическим лицам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доступность и наглядность в сети «Интернет» информации об услугах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МЖКХиЭ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28.7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Размещение на официальных сайтах ОИО НСО и Инвестиционном портале Нов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осибирской области информации 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деятельности субъектов естественных монополий, осуществляющих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территории Новосибирской области, в том числе с помощью ссылок на информацию, размещенную на официальных сайтах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прозрачности деятельности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МЖКХиЭ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департамент по тарифам НСО;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Минцифра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Минтранс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14907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 Мероприятия по реализации Национального плана («дорожной карты») развития конкуренции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 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(далее – Национальный план)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размещения на официальных сайтах в информационно-телек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оммуникационной сети «Интернет» информации о результатах реализации государственной политики по развитию конкуренции, в том числе положений Национального плана, плана мероприятий («дорожной карты») по содействию развитию конкуренции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доступность и наглядность в сети «Интернет» информации о результатах реализации государственной политики по развитию конкуренции, в том числе положений Национального плана, плана 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роприятий («дорожной карты»)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действию развитию конкуренции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Минэкономразвития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ОИО НСО, ответственные за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реализацию Национального плана, плана 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роприятий («дорожной карты»)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содействию развитию конкуренции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019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Реализац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ия мероприятий, направленных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ние количества нестационарных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мобильных торговых 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бъектов и торговых мест под них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количества нестационарных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мобильных торговых объектов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торговых мест под них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31 декабря 2024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Привати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зация имущества, находящегося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собствен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ности Новосибирской области, не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использ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уемого для реализации функций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полномочий ОИО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приватизации имущества, находящегося в собствен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ности Новосибирской области, не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используемого для реализации функций и полномочий ОИО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ДИиЗО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Определение состава муниципального имущества, не соответствующего требованиям отнесения к категории имущества, предназнач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енного для реализации функций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полномочий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перече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нь муниципального имущества, не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1 января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Приватизация либо перепрофилирование (изменение целевого назначения имущества)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муниципального имущества, не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соответствующего требованиям отнесения к категории имущества, предназна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ченного для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реализации функций и полномочий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приватизации либо перепрофилирования (изменения целевого назначения имуществ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а) муниципального имущества, не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соответствующего требованиям отнесения к категории имущества, предназначенного для 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функций и полномочий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8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Разработка</w:t>
            </w:r>
            <w:r>
              <w:rPr>
                <w:rFonts w:ascii="Times New Roman" w:hAnsi="Times New Roman" w:cs="Times New Roman"/>
                <w:highlight w:val="white"/>
              </w:rPr>
              <w:t xml:space="preserve"> комплекса мер, направленных на </w:t>
            </w:r>
            <w:r>
              <w:rPr>
                <w:rFonts w:ascii="Times New Roman" w:hAnsi="Times New Roman" w:cs="Times New Roman"/>
                <w:highlight w:val="white"/>
              </w:rPr>
              <w:t xml:space="preserve">обеспечение возможности подачи сельскохозяйственными товаропроизводителя</w:t>
            </w:r>
            <w:r>
              <w:rPr>
                <w:rFonts w:ascii="Times New Roman" w:hAnsi="Times New Roman" w:cs="Times New Roman"/>
                <w:highlight w:val="white"/>
              </w:rPr>
              <w:t xml:space="preserve">ми заявления на 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получение субсидий в электронном виде через государственную информационную систему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возможности подачи сельскохозяйственными 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аропроизводителями заявления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получение субсидий в электронном виде через государственную информационную систему;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количества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Минсельхоз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работы по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реорганизации/ликвидации унитарных предприятий на рынках услуг в сфере информацио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нных технологий, в том числе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 рынках услуг в сфере информационных технологий, в том числе на рынках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Минцифра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8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Организация работы по увеличению объема </w:t>
            </w:r>
            <w:r>
              <w:rPr>
                <w:rFonts w:ascii="Times New Roman" w:hAnsi="Times New Roman" w:cs="Times New Roman"/>
                <w:highlight w:val="white"/>
              </w:rPr>
              <w:t xml:space="preserve">ТКО</w:t>
            </w:r>
            <w:r>
              <w:rPr>
                <w:rFonts w:ascii="Times New Roman" w:hAnsi="Times New Roman" w:cs="Times New Roman"/>
                <w:highlight w:val="white"/>
              </w:rPr>
              <w:t xml:space="preserve">, транспортируемых организациями частных форм собственн</w:t>
            </w:r>
            <w:r>
              <w:rPr>
                <w:rFonts w:ascii="Times New Roman" w:hAnsi="Times New Roman" w:cs="Times New Roman"/>
                <w:highlight w:val="white"/>
              </w:rPr>
              <w:t xml:space="preserve">ости (негосударственными и </w:t>
            </w:r>
            <w:r>
              <w:rPr>
                <w:rFonts w:ascii="Times New Roman" w:hAnsi="Times New Roman" w:cs="Times New Roman"/>
                <w:highlight w:val="white"/>
              </w:rPr>
              <w:t xml:space="preserve">немуниципальными организациями) </w:t>
            </w:r>
            <w:r>
              <w:rPr>
                <w:rFonts w:ascii="Times New Roman" w:hAnsi="Times New Roman" w:cs="Times New Roman"/>
                <w:highlight w:val="white"/>
              </w:rPr>
              <w:t xml:space="preserve">и </w:t>
            </w:r>
            <w:r>
              <w:rPr>
                <w:rFonts w:ascii="Times New Roman" w:hAnsi="Times New Roman" w:cs="Times New Roman"/>
                <w:highlight w:val="white"/>
              </w:rPr>
              <w:t xml:space="preserve">не </w:t>
            </w:r>
            <w:r>
              <w:rPr>
                <w:rFonts w:ascii="Times New Roman" w:hAnsi="Times New Roman" w:cs="Times New Roman"/>
                <w:highlight w:val="white"/>
              </w:rPr>
              <w:t xml:space="preserve">аффилированными с региональным оператором по обращению с твердыми коммунальными отходами: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88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проведение торгов, по результатам которы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х формируются цены на услуги 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по 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транспортированию </w:t>
            </w:r>
            <w:r>
              <w:rPr>
                <w:rFonts w:ascii="Times New Roman" w:hAnsi="Times New Roman" w:cs="Times New Roman"/>
                <w:highlight w:val="white"/>
              </w:rPr>
              <w:t xml:space="preserve">ТКО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 для 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региона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льного оператора по обращению с </w:t>
            </w:r>
            <w:r>
              <w:rPr>
                <w:rFonts w:ascii="Times New Roman" w:hAnsi="Times New Roman" w:cs="Times New Roman"/>
                <w:highlight w:val="white"/>
              </w:rPr>
              <w:t xml:space="preserve">ТКО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в форме электронного аукциона в 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отношении всего объема </w:t>
            </w:r>
            <w:r>
              <w:rPr>
                <w:rFonts w:ascii="Times New Roman" w:hAnsi="Times New Roman" w:cs="Times New Roman"/>
                <w:highlight w:val="white"/>
              </w:rPr>
              <w:t xml:space="preserve">ТКО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, образующихся в зоне (зонах) его деятельности; 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  <w:p>
            <w:pPr>
              <w:pStyle w:val="988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разделение региональным операто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ром на 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бол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ьшее количество лотов услуги по 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транспортированию </w:t>
            </w:r>
            <w:r>
              <w:rPr>
                <w:rFonts w:ascii="Times New Roman" w:hAnsi="Times New Roman" w:cs="Times New Roman"/>
                <w:highlight w:val="white"/>
              </w:rPr>
              <w:t xml:space="preserve">ТКО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 в зоне его деятельности, а также увеличение объема услуг по транспортированию </w:t>
            </w:r>
            <w:r>
              <w:rPr>
                <w:rFonts w:ascii="Times New Roman" w:hAnsi="Times New Roman" w:cs="Times New Roman"/>
                <w:highlight w:val="white"/>
              </w:rPr>
              <w:t xml:space="preserve">ТКО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, выде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ленных в 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отдельные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 лоты, участниками аукционов по 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которым могут быть только субъекты малого 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и среднего предпринимательства;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  <w:p>
            <w:pPr>
              <w:pStyle w:val="988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проведен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ие круглых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 столов, 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вебинаров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консультаций с действующими и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пот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енциальными предпринимателями и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highlight w:val="white"/>
              </w:rPr>
              <w:t xml:space="preserve">коммерческими организациями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до 30% к 2025 году объема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ТКО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транспортируемых организациями частных форм собс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твенности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(негосударственными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муниципальными организациями)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 аффилированными с региональным оператором по обращению с твердыми коммунальными отходами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МЖКХиЭ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Создание условий для оформления документов по подключению (технологическому присоединению) объектов капитального строительства к сетям инжен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ерно-технического обеспечения в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8"/>
              <w:jc w:val="both"/>
              <w:rPr>
                <w:rFonts w:ascii="Times New Roman" w:hAnsi="Times New Roman" w:cs="Times New Roman"/>
                <w:bCs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  <w:t xml:space="preserve">оформление документов по 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  <w:t xml:space="preserve">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форме;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доля организаций частной формы собственности составляет не менее: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для организаций,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осуществляющих деятельность по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зводству электроэнергии на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розничном рынке;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для организаций, осуществляющих деятельность по купле-продаже электроэнергии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энергосбытовую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деятельность) на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розничном рынке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МЖКХиЭ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8"/>
              <w:jc w:val="both"/>
              <w:rPr>
                <w:rFonts w:ascii="Times New Roman" w:hAnsi="Times New Roman" w:cs="Times New Roman"/>
                <w:bCs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Обеспечение реализации мероприятий, направленных на увеличение доли 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  <w:t xml:space="preserve">услуг (работ) по перевозке пассажир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  <w:t xml:space="preserve">ов автомобильным транспортом по 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  <w:t xml:space="preserve">муниципальным и межмуниципальным маршрутам регулярных перевозок, оказанных (выполненных) организациями частной формы собственности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8"/>
              <w:jc w:val="both"/>
              <w:rPr>
                <w:rFonts w:ascii="Times New Roman" w:hAnsi="Times New Roman" w:cs="Times New Roman"/>
                <w:bCs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  <w:t xml:space="preserve">оля услуг (работ) по перевозке пассаж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  <w:t xml:space="preserve">иров автомобильным транспортом: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</w:r>
          </w:p>
          <w:p>
            <w:pPr>
              <w:pStyle w:val="988"/>
              <w:jc w:val="both"/>
              <w:rPr>
                <w:rFonts w:ascii="Times New Roman" w:hAnsi="Times New Roman" w:cs="Times New Roman"/>
                <w:bCs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  <w:t xml:space="preserve">по муниципальным маршрутам регулярных перевозок, оказанных (выполненных) организациями частной форм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  <w:t xml:space="preserve">ы собственности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  <w:t xml:space="preserve"> – не менее 20%;</w:t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auto"/>
                <w:highlight w:val="white"/>
              </w:rPr>
            </w:r>
          </w:p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по межмуниципальным маршрутам регулярных перевозок, оказанных (выполненных) организациями частной формы собственности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не менее 30%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Минтранс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Внедрение системы возмещения стоимости лекарственного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внедрена система возмещения стоимости лекарственного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Минздрав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реализации мероприятий, направленных на увеличение доли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частной формы собственности на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рынках медицинских услуг и рынках розничной торговли лекарственными препаратами, медицинскими изделиями: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8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введение эл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ектронных форм подачи заявок на 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получение лицензий на осуществление медицинской деятельности через портал государственных и муниципальных услуг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 субъекта Российской Федерации;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  <w:p>
            <w:pPr>
              <w:pStyle w:val="988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предоставлен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ие услуги электронной записи на 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прием заявите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ля при подаче заявления на 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получение лицензии на осуществ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ление медицинской деятельности;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  <w:p>
            <w:pPr>
              <w:pStyle w:val="988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ведение перечня объектов государственной собственност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и, передача которых возможна по 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договорам аренды с обязательством с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охранения целевого назначения и 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объекта;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  <w:p>
            <w:pPr>
              <w:pStyle w:val="988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проведение анализа распределения объемов территориальными комиссиями ОМС, а также условий выплат по оказанным медицинским услугам с привлечением представителей антимонопольного органа; 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  <w:p>
            <w:pPr>
              <w:pStyle w:val="988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приватизация унитарных предприятий, осуществляющих торговлю лекарственными препар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атами, медицинскими изделиями и сопутствующими товарами;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разработка программы мероприятий, направленных на стимулирование развития розничной торговли лекарственными препар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атами, медицинскими изделиями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сопутствующими товарами в отдаленных, труднодоступных и ма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лочисленных населенных пунктах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составляет: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 рынках медицинских услуг – не менее 10%, в том числе доля субъектов малого 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среднего предпринимательства – не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менее 80%;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 рынках розничной торговли лекарственными препаратами, медицинскими изделиями – не менее 70%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Минздрав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Организация создания в ФГИС «Единая система нормативной справочной инф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ормации» справочника сведений о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кладбищах и местах захоронений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на них в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отношении всех существующих кладбищ, справочника сведений о хозяйствующих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убъектах, оказывающих услуги по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организации похорон, в целях обеспечения возможности поиска информации посредством единого портала государственных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муниципальных услуг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соответствии с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положением раздела III Национального плана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созданы и размещены в ФГИС «Единая система нормативной справочной 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формации» справочник сведений о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адбищах и местах захоронений на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них в отношении всех существующих кладбищ, справочник сведений 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хозяйствующих субъектах, оказывающих услуги по организации похорон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Минстрой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Минцифра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Организац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ия оказания ритуальных услуг по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принципу «одного окна» на основе конкуренции с предоставлением информации о хозяйствующих субъектах, имеющих право на оказание услуг по организации похорон,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включая стоимость оказываемых хозяйствующими субъектами ритуальных услу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обеспечено оказание услуг по принципу «одного окна»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Минстрой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Минцифра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перехода к взаимодействию субъекто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градостроительных отношений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государственными органами и органами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pStyle w:val="98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взаимодействие субъекто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градостроительных отношений 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государственными органам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анами местного самоуправления в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единой цифровой среде управления жизненным циклом объекта капитального строительства на основе еди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ных классификаторов, форматов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регламентов информационного обмена, учитывающих возможность использования технологий информационного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Минстрой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Минцифра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pStyle w:val="988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Обеспечение реализации мероприятий, направленных на увеличение доли организаци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й частной формы собственности в 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объеме выполненных работ по виду экономической деятельности «Строительство» (опреде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ление хозяйствующих субъектов с 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государственным/муниципальным участием, осуществляющих деятельность сфере строительства, принятие решения о их приватизации)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организаций частной формы собственности в объеме выполненных работ по виду экономической деятельности «Строительство» составляет не менее 91%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Минстрой НСО во 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35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реализации мероприятий, направленных на увеличение количества нестационар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ных торговых объектов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торговых мест под них (далее – НТО):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8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проведение открытых опросов предпринимателей в целях определения спроса/потребности в предоста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влении мест под размещение НТО;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  <w:p>
            <w:pPr>
              <w:pStyle w:val="988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с участием органов местного самоуправления подготовка предложений по изменению схемы размещения НТО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 (расширение перечня объектов);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утверждение актуализированной схемы размещения НТО;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8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разраб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отка и утверждение программы по 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программы 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  <w:t xml:space="preserve">в сети «Интернет»;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 на рынок (выхода с рынка), и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их устранение, проведение межв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едомственных экспертных советов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увеличено 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НТО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 менее чем на 10% к 2025 году по отношению к 2020 году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314" w:type="dxa"/>
            <w:textDirection w:val="lrTb"/>
            <w:noWrap w:val="false"/>
          </w:tcPr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8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Применяемые сокращения: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АО – акционерное общество;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АО «Корпорация развития НСО» – акционерное общество «Корпорация развития Новосибирской области»;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АПК – агропромышленный комплекс;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ГАУ ДПО – государств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енное автономное учреждение дополнительного профессионального образования;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ГАУ – государственное автономное учреждение;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ГАУ НСО 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«МФЦ»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«Новосибирской области»;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ГБУ НСО «ГВЭ НСО» –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государственное бюджетное учреждение Новосибирской области «Государственная вневедомственная экспертиза Новосибирской области»;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ГБУ – государственное бюджетное учреждение;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ГБУЗ – государственное бюджетное учреждение здравоохранения;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ГВЭ – государственная вневедомственная экспертиза;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ГЖИ – государственная жилищная инспекция;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ГИС – государственная информационная система;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ГИС ЖКХ – государственная информационная система жилищно-коммунального хозяйства;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ГКУ НСО ТУАД – государственное казенное учреждение Новосибирской области «Территориальное управление автомобильных дорог Новосибирской области»;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ГКУ –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государственное казенное учреждение;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ГЛОНАСС – глобальная навигационная спутниковая система;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ГУ МВД – Главное управление Министерства внутренних дел Российской Федерации по Новосибирской области;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ГЭС – гидроэлектростанция;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ДИиЗО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НСО – департамент имущества и земельных отношений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ЕврАзЭС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– Евразийское экономическое сообщество;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ЖК – жилищный кооператив;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ЖСК – жилищно-строительный кооператив;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ЗАО – закрытое акционерное общество;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ИППСУ – индивидуальная программа предоставления социальных услуг;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КФХ – крестьянское (фермерское) хозяйство;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МЖКХиЭ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НСО – министерство жилищно-коммунального хозяйства и энергетики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Минздрав НСО – министерство здравоохранения Новосибирской области;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Минкульт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НСО – министерство культуры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Миннауки НСО – министерство науки и инновационной политики Новосибирской области;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Минобразования НСО – министерство образования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Минпромторг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НСО – министерство промышленности, торговли и развития предпринимательства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Минсельхоз НСО – министерство сельского хозяйства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Минстрой НСО – министерство строительства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Минтранс НСО – министерство транспорта и дорожного хозяйства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Минтруда и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соцразвития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НСО – министерство труда и социального развития Новосибирской области;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Минцифра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НСО – министерство цифрового развития и связи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Минэкономразвития НСО – министерство экономического развития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МСП – малое и среднее предпринимательство;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МУП – муниципальное унитарное предприятие;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МФ и НП НСО – министерство финансов и налоговой политики Новосибирской области;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МФКиС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НСО – министерство физической культуры и спорта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Навигатор ДОД –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НП – некоммерческое предприятие;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НСО – Новосибирская область;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ОАО – открытое акционерное общество;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ОЗП – осенне-зимний период;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ОИО НСО – областные исполнительные органы Новосибирской области;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ОКВЭД – общероссийский классификатор видов экономической деятельности;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ОМС – обязательное медицинское страхование;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ОМСУ НСО – органы местного самоуправления муниципальных образований Новосибирской области;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ООО – общество с ограниченной ответственностью;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ПАО – публичное акционерное общество;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РНИС НСО – региональная навигационно-информационная система Новосибирской области;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Сибирское ГУ Банка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России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– Сибирское главное управление Центрального банка Российской Федерации;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СИБЭКО – </w:t>
      </w:r>
      <w:r>
        <w:rPr>
          <w:rFonts w:ascii="Times New Roman" w:hAnsi="Times New Roman" w:eastAsia="Calibri" w:cs="Times New Roman"/>
          <w:sz w:val="28"/>
          <w:szCs w:val="28"/>
          <w:highlight w:val="white"/>
          <w:shd w:val="clear" w:color="auto" w:fill="ffffff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Сибирская энергетическая компания»;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СО РАН – Сибирское отделение Российской академии наук;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СРО – саморегулируемые организации;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СФНЦА РАН –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Сибирский федеральный научный центр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агробиотехнологий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Российской академии наук;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СФО – Сибирский федеральный округ;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ТКО – твердые коммунальные отходы;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ТСЖ – товарищество собственников жилья;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ТСО – теплоснабжающая организация;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ТЭЦ – теплоэлектроцентраль;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УЭБ и ПК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ГУ МВД России по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– Управление по экономической безопасности и противодействию коррупции Главного управления Министерства внутренних дел Российской Федерации по Новосибирской области;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ФАС России –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Федеральная антимонопольная служба;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ФГАОУ ВО – федеральное государственное автономное образовательное учреждение высшего образования;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ФГБН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– федеральное государственное бюджетное научное учреждение;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ФГБОУ ВО – федеральное государственное бюджетное образовательное учреждение высшего образования;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ФГБУ – федеральное государственное бюджетное учреждение;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ФГБУН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– федеральное государственное бюджетное учреждение науки;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  <w:sectPr>
          <w:headerReference w:type="default" r:id="rId9"/>
          <w:footnotePr/>
          <w:endnotePr/>
          <w:type w:val="nextPage"/>
          <w:pgSz w:w="16838" w:h="11906" w:orient="landscape"/>
          <w:pgMar w:top="1417" w:right="1134" w:bottom="567" w:left="1134" w:header="720" w:footer="283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ФГИС – федеральная государственная информационная система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left="48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482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 плану мероприятий («дорожной карте»)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482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содействию развитию конкуренции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482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482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482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482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00"/>
        <w:jc w:val="center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ПЕРЕЧЕНЬ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00"/>
        <w:jc w:val="center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программных документов Новосибирской области, оказывающих влияние на состояние конкуренции на территории 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 Государственная программа Новосибирской области «Содействие занятости населения» (утверждена постановлением Правительства Новосибирской области от 23.04.2013 № 177-п).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 Государственная программа «Развитие здравоохранения Новосибирской области» (утверждена постановлением Правительства Новосибирской области от 07.05.2013 № 199-п).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 Государственная программа Новосибирской области «Региональная программа развития среднего профессионального образования Новосибирской области» (утверждена постановлением Правительства Новосибирской области от 06.09.2013 № 380-п).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 Государственная программа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(утверждена постановлением Правительства Новосибирской области от 24.02.2014 № 83-п).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5. Государственная программа Новосибирской области «Развитие образования, создание условий для социализации детей и учащейся молодежи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Новосибирской области» (утверждена постановлением Правительства Новосибирской области от 31.12.2014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576-п).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6. Государственная программа Новосибирской области «Развитие системы обращения с отходами производства и потребления в Новосибирской области» (утверждена постановлением Правительства Новосибирской области от 19.01.2015 № 10-п).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7. Государственная программа Новосибирской области «Развитие физической культуры и спорта в Новосибирской области» (утверждена постановлением Правительства Новосибирской области от 23.01.2015 № 24-п).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8. Государственная программа Новосибирской области «Охрана окружающей среды» (утверждена постановлением Правительства Новосибирской области от 28.01.2015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28-п).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9. Государственная программа Новосибирской области «Развитие сельского хозяйства и регулирование рынков сельскохозяйственной продукции, сырья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продовольствия в Новосибирской области» (утверждена постановлением Правительства Новосибирской области от 02.02.2015 № 37-п).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10. Государственная программа Новосибирской области «Энергосбережение и повышение энергетической эффективности Новосибирской области» (утверждена постановлением Правительства Новосибирской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области от 16.03.2015 № 89-п).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11. Государственная программа Новосибирской области «Стимулирование инвестиционной активности в Новосибирской области» (утверждена постановлением Правительства Новосибирской области от 01.04.2015 № 126-п).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12. Государственная программа Новосибирской области «Развитие государственной молодежной политики Новосибирской области» (утверждена постановлением Правительства Новосибирской области от 13.07.2015 № 263-п).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13. Государственная программа Новосибирской области «Развитие промышленности и повышение ее конкурентоспособности в Новосибирской области» (утверждена постановлением Правительства Новосибирской области от 28.07.2015 № 291-п).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 Государственная программа Новосибирской области «Развитие субъектов малого и среднего предпринимательства в Новосибирской области» (утверждена постановлением Правительства Новосибирской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области от 31.01.2017 № 14-п).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15. Государственная программа Новосибирской области «Управление финансами в Новосибирской области» (утверждена постановлением Правительства Новосибирской области от 26.12.2018 № 567-п).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16. Государственная программа Новосибирской области «Социальная поддержка в Новосибирской области» (утверждена постановлением Правительства Новосибирской области от 17.11.2021 № 462-п).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17. Государственная программа Новосибирской области «Развитие туризма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Новосибирской области» (утверждена постановлением Правительства Новосибирской об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ласти от 30.12.2021 № 576-п).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680" w:leader="none"/>
        </w:tabs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18. 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Региональная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программа Новосибирской области «Повышение финансовой грамотности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населения Новосибирской области на 2024–2030 годы» (утверждена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Правительства Новосибирской области от 28.11.2023 № 542-п).</w: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10000000000000000"/>
  </w:font>
  <w:font w:name="Symbol">
    <w:panose1 w:val="05010000000000000000"/>
  </w:font>
  <w:font w:name="SimSun">
    <w:panose1 w:val="02000506000000020000"/>
  </w:font>
  <w:font w:name="Courier New">
    <w:panose1 w:val="02070309020205020404"/>
  </w:font>
  <w:font w:name="Liberation Serif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101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iCs/>
          <w:sz w:val="20"/>
          <w:szCs w:val="20"/>
        </w:rPr>
        <w:t xml:space="preserve">фактические данные не приводятся в целях соблюдения конфиденциальности первичных статистических данных, полученных от организаций, в соответствии с Федеральным законом от 29.11.07 № 282-</w:t>
      </w:r>
      <w:r>
        <w:rPr>
          <w:rFonts w:ascii="Times New Roman" w:hAnsi="Times New Roman" w:cs="Times New Roman"/>
          <w:iCs/>
          <w:sz w:val="20"/>
          <w:szCs w:val="20"/>
        </w:rPr>
        <w:t xml:space="preserve">ФЗ «Об официальном статистическо</w:t>
      </w:r>
      <w:r>
        <w:rPr>
          <w:rFonts w:ascii="Times New Roman" w:hAnsi="Times New Roman" w:cs="Times New Roman"/>
          <w:iCs/>
          <w:sz w:val="20"/>
          <w:szCs w:val="20"/>
        </w:rPr>
        <w:t xml:space="preserve">м учете и системе государственной статистики в Российской Федерации».</w:t>
      </w:r>
      <w:r>
        <w:rPr>
          <w:rFonts w:ascii="Times New Roman" w:hAnsi="Times New Roman" w:cs="Times New Roman"/>
          <w:iCs/>
          <w:sz w:val="20"/>
          <w:szCs w:val="20"/>
        </w:rPr>
      </w:r>
      <w:r>
        <w:rPr>
          <w:rFonts w:ascii="Times New Roman" w:hAnsi="Times New Roman" w:cs="Times New Roman"/>
          <w:iCs/>
          <w:sz w:val="20"/>
          <w:szCs w:val="20"/>
        </w:rPr>
      </w:r>
    </w:p>
    <w:p>
      <w:pPr>
        <w:pStyle w:val="1015"/>
      </w:pPr>
      <w:r/>
      <w:r/>
    </w:p>
  </w:footnote>
  <w:footnote w:id="3">
    <w:p>
      <w:pPr>
        <w:pStyle w:val="1015"/>
        <w:jc w:val="both"/>
      </w:pPr>
      <w:r>
        <w:rPr>
          <w:rStyle w:val="1018"/>
        </w:rPr>
        <w:footnoteRef/>
      </w:r>
      <w:r>
        <w:t xml:space="preserve"> – расчет показателей 2.1–2.2 осуществляется с учетом закупок подведомственных учреждений и территориальных структурных подразделений.</w:t>
      </w:r>
      <w:r/>
    </w:p>
  </w:footnote>
  <w:footnote w:id="4">
    <w:p>
      <w:pPr>
        <w:pStyle w:val="986"/>
        <w:jc w:val="both"/>
        <w:rPr>
          <w:sz w:val="20"/>
          <w:szCs w:val="20"/>
        </w:rPr>
      </w:pPr>
      <w:r>
        <w:rPr>
          <w:rStyle w:val="1018"/>
          <w:sz w:val="20"/>
          <w:szCs w:val="20"/>
        </w:rPr>
        <w:footnoteRef/>
      </w:r>
      <w:r>
        <w:rPr>
          <w:sz w:val="20"/>
          <w:szCs w:val="20"/>
        </w:rPr>
        <w:t xml:space="preserve"> – показатель «среднее число участников закупок по результатам конкурентных способов определения поставщиков (подрядчиков, исполнителей) в соответствии с </w:t>
      </w:r>
      <w:hyperlink r:id="rId1" w:tooltip="https://internet.garant.ru/#/document/70353464/entry/0" w:anchor="/document/70353464/entry/0" w:history="1">
        <w:r>
          <w:rPr>
            <w:rStyle w:val="989"/>
            <w:color w:val="auto"/>
            <w:sz w:val="20"/>
            <w:szCs w:val="20"/>
            <w:u w:val="none"/>
          </w:rPr>
          <w:t xml:space="preserve">Федеральным законом</w:t>
        </w:r>
      </w:hyperlink>
      <w:r>
        <w:rPr>
          <w:sz w:val="20"/>
          <w:szCs w:val="20"/>
        </w:rPr>
        <w:t xml:space="preserve"> от 05.04.2013 № 44-ФЗ «О контрактной системе в сфере закупок товаров, работ, услуг для обеспечения государственных и муниципальных нужд» является одним из ключевых индикаторов эффективности закупок, который установлен на уровне общероссийского значе</w:t>
      </w:r>
      <w:r>
        <w:rPr>
          <w:sz w:val="20"/>
          <w:szCs w:val="20"/>
        </w:rPr>
        <w:t xml:space="preserve">ния по итогам 2023 года (2,77). </w:t>
      </w:r>
      <w:r>
        <w:rPr>
          <w:sz w:val="20"/>
          <w:szCs w:val="20"/>
        </w:rPr>
        <w:t xml:space="preserve">Под средним значением подразумевается среднее арифметическое значение показателя по Новосибирской области, рассчитанно</w:t>
      </w: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 как отношение общего количества заявок участников к общему количеству процедур закупок.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5">
    <w:p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Style w:val="101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в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соответствии с пунктом</w:t>
      </w:r>
      <w:r>
        <w:rPr>
          <w:rFonts w:ascii="Times New Roman" w:hAnsi="Times New Roman" w:cs="Times New Roman"/>
          <w:color w:val="1f497d"/>
          <w:sz w:val="20"/>
          <w:szCs w:val="20"/>
          <w:lang w:eastAsia="ru-RU"/>
        </w:rPr>
        <w:t xml:space="preserve">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4.5 части 17 статьи 51 Градостроительного кодекса Российской Федерации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выдача разрешения на строительство не требуется в случае размещения антенных опор (мачт и башен)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высотой до 50 метров, предназначенных для размещения средств связи. Данный пункт введен Федеральным законом от 02.08.2019 № 283-ФЗ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.</w:t>
      </w:r>
      <w:r>
        <w:rPr>
          <w:rFonts w:ascii="Times New Roman" w:hAnsi="Times New Roman" w:cs="Times New Roman"/>
          <w:sz w:val="20"/>
          <w:szCs w:val="20"/>
          <w:lang w:eastAsia="ru-RU"/>
        </w:rPr>
      </w:r>
      <w:r>
        <w:rPr>
          <w:rFonts w:ascii="Times New Roman" w:hAnsi="Times New Roman" w:cs="Times New Roman"/>
          <w:sz w:val="20"/>
          <w:szCs w:val="20"/>
          <w:lang w:eastAsia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52600492"/>
      <w:docPartObj>
        <w:docPartGallery w:val="Page Numbers (Top of Page)"/>
        <w:docPartUnique w:val="true"/>
      </w:docPartObj>
      <w:rPr/>
    </w:sdtPr>
    <w:sdtContent>
      <w:p>
        <w:pPr>
          <w:pStyle w:val="1010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138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09472566"/>
      <w:docPartObj>
        <w:docPartGallery w:val="Page Numbers (Top of Page)"/>
        <w:docPartUnique w:val="true"/>
      </w:docPartObj>
      <w:rPr/>
    </w:sdtPr>
    <w:sdtContent>
      <w:p>
        <w:pPr>
          <w:pStyle w:val="1010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140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2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4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9" w:default="1">
    <w:name w:val="Normal"/>
    <w:qFormat/>
  </w:style>
  <w:style w:type="paragraph" w:styleId="800">
    <w:name w:val="Heading 1"/>
    <w:basedOn w:val="799"/>
    <w:link w:val="101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01">
    <w:name w:val="Heading 2"/>
    <w:basedOn w:val="799"/>
    <w:next w:val="799"/>
    <w:link w:val="1006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02">
    <w:name w:val="Heading 3"/>
    <w:basedOn w:val="799"/>
    <w:next w:val="799"/>
    <w:link w:val="1009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803">
    <w:name w:val="Heading 4"/>
    <w:basedOn w:val="799"/>
    <w:next w:val="799"/>
    <w:link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4">
    <w:name w:val="Heading 5"/>
    <w:basedOn w:val="799"/>
    <w:next w:val="799"/>
    <w:link w:val="8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5">
    <w:name w:val="Heading 6"/>
    <w:basedOn w:val="799"/>
    <w:next w:val="799"/>
    <w:link w:val="8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06">
    <w:name w:val="Heading 7"/>
    <w:basedOn w:val="799"/>
    <w:next w:val="799"/>
    <w:link w:val="8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07">
    <w:name w:val="Heading 8"/>
    <w:basedOn w:val="799"/>
    <w:next w:val="799"/>
    <w:link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08">
    <w:name w:val="Heading 9"/>
    <w:basedOn w:val="799"/>
    <w:next w:val="799"/>
    <w:link w:val="8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9" w:default="1">
    <w:name w:val="Default Paragraph Font"/>
    <w:uiPriority w:val="1"/>
    <w:semiHidden/>
    <w:unhideWhenUsed/>
  </w:style>
  <w:style w:type="table" w:styleId="8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1" w:default="1">
    <w:name w:val="No List"/>
    <w:uiPriority w:val="99"/>
    <w:semiHidden/>
    <w:unhideWhenUsed/>
  </w:style>
  <w:style w:type="character" w:styleId="812" w:customStyle="1">
    <w:name w:val="Heading 4 Char"/>
    <w:basedOn w:val="809"/>
    <w:uiPriority w:val="9"/>
    <w:rPr>
      <w:rFonts w:ascii="Arial" w:hAnsi="Arial" w:eastAsia="Arial" w:cs="Arial"/>
      <w:b/>
      <w:bCs/>
      <w:sz w:val="26"/>
      <w:szCs w:val="26"/>
    </w:rPr>
  </w:style>
  <w:style w:type="character" w:styleId="813" w:customStyle="1">
    <w:name w:val="Heading 5 Char"/>
    <w:basedOn w:val="809"/>
    <w:uiPriority w:val="9"/>
    <w:rPr>
      <w:rFonts w:ascii="Arial" w:hAnsi="Arial" w:eastAsia="Arial" w:cs="Arial"/>
      <w:b/>
      <w:bCs/>
      <w:sz w:val="24"/>
      <w:szCs w:val="24"/>
    </w:rPr>
  </w:style>
  <w:style w:type="character" w:styleId="814" w:customStyle="1">
    <w:name w:val="Heading 6 Char"/>
    <w:basedOn w:val="809"/>
    <w:uiPriority w:val="9"/>
    <w:rPr>
      <w:rFonts w:ascii="Arial" w:hAnsi="Arial" w:eastAsia="Arial" w:cs="Arial"/>
      <w:b/>
      <w:bCs/>
      <w:sz w:val="22"/>
      <w:szCs w:val="22"/>
    </w:rPr>
  </w:style>
  <w:style w:type="character" w:styleId="815" w:customStyle="1">
    <w:name w:val="Heading 7 Char"/>
    <w:basedOn w:val="8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6" w:customStyle="1">
    <w:name w:val="Heading 8 Char"/>
    <w:basedOn w:val="809"/>
    <w:uiPriority w:val="9"/>
    <w:rPr>
      <w:rFonts w:ascii="Arial" w:hAnsi="Arial" w:eastAsia="Arial" w:cs="Arial"/>
      <w:i/>
      <w:iCs/>
      <w:sz w:val="22"/>
      <w:szCs w:val="22"/>
    </w:rPr>
  </w:style>
  <w:style w:type="character" w:styleId="817" w:customStyle="1">
    <w:name w:val="Heading 9 Char"/>
    <w:basedOn w:val="809"/>
    <w:uiPriority w:val="9"/>
    <w:rPr>
      <w:rFonts w:ascii="Arial" w:hAnsi="Arial" w:eastAsia="Arial" w:cs="Arial"/>
      <w:i/>
      <w:iCs/>
      <w:sz w:val="21"/>
      <w:szCs w:val="21"/>
    </w:rPr>
  </w:style>
  <w:style w:type="character" w:styleId="818" w:customStyle="1">
    <w:name w:val="Subtitle Char"/>
    <w:basedOn w:val="809"/>
    <w:uiPriority w:val="11"/>
    <w:rPr>
      <w:sz w:val="24"/>
      <w:szCs w:val="24"/>
    </w:rPr>
  </w:style>
  <w:style w:type="character" w:styleId="819" w:customStyle="1">
    <w:name w:val="Quote Char"/>
    <w:uiPriority w:val="29"/>
    <w:rPr>
      <w:i/>
    </w:rPr>
  </w:style>
  <w:style w:type="character" w:styleId="820" w:customStyle="1">
    <w:name w:val="Intense Quote Char"/>
    <w:uiPriority w:val="30"/>
    <w:rPr>
      <w:i/>
    </w:rPr>
  </w:style>
  <w:style w:type="character" w:styleId="821" w:customStyle="1">
    <w:name w:val="Endnote Text Char"/>
    <w:uiPriority w:val="99"/>
    <w:rPr>
      <w:sz w:val="20"/>
    </w:rPr>
  </w:style>
  <w:style w:type="character" w:styleId="822" w:customStyle="1">
    <w:name w:val="Heading 1 Char"/>
    <w:basedOn w:val="809"/>
    <w:uiPriority w:val="9"/>
    <w:rPr>
      <w:rFonts w:ascii="Arial" w:hAnsi="Arial" w:eastAsia="Arial" w:cs="Arial"/>
      <w:sz w:val="40"/>
      <w:szCs w:val="40"/>
    </w:rPr>
  </w:style>
  <w:style w:type="character" w:styleId="823" w:customStyle="1">
    <w:name w:val="Heading 2 Char"/>
    <w:basedOn w:val="809"/>
    <w:uiPriority w:val="9"/>
    <w:rPr>
      <w:rFonts w:ascii="Arial" w:hAnsi="Arial" w:eastAsia="Arial" w:cs="Arial"/>
      <w:sz w:val="34"/>
    </w:rPr>
  </w:style>
  <w:style w:type="character" w:styleId="824" w:customStyle="1">
    <w:name w:val="Heading 3 Char"/>
    <w:basedOn w:val="809"/>
    <w:uiPriority w:val="9"/>
    <w:rPr>
      <w:rFonts w:ascii="Arial" w:hAnsi="Arial" w:eastAsia="Arial" w:cs="Arial"/>
      <w:sz w:val="30"/>
      <w:szCs w:val="30"/>
    </w:rPr>
  </w:style>
  <w:style w:type="character" w:styleId="825" w:customStyle="1">
    <w:name w:val="Заголовок 4 Знак"/>
    <w:basedOn w:val="809"/>
    <w:link w:val="803"/>
    <w:uiPriority w:val="9"/>
    <w:rPr>
      <w:rFonts w:ascii="Arial" w:hAnsi="Arial" w:eastAsia="Arial" w:cs="Arial"/>
      <w:b/>
      <w:bCs/>
      <w:sz w:val="26"/>
      <w:szCs w:val="26"/>
    </w:rPr>
  </w:style>
  <w:style w:type="character" w:styleId="826" w:customStyle="1">
    <w:name w:val="Заголовок 5 Знак"/>
    <w:basedOn w:val="809"/>
    <w:link w:val="804"/>
    <w:uiPriority w:val="9"/>
    <w:rPr>
      <w:rFonts w:ascii="Arial" w:hAnsi="Arial" w:eastAsia="Arial" w:cs="Arial"/>
      <w:b/>
      <w:bCs/>
      <w:sz w:val="24"/>
      <w:szCs w:val="24"/>
    </w:rPr>
  </w:style>
  <w:style w:type="character" w:styleId="827" w:customStyle="1">
    <w:name w:val="Заголовок 6 Знак"/>
    <w:basedOn w:val="809"/>
    <w:link w:val="805"/>
    <w:uiPriority w:val="9"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Заголовок 7 Знак"/>
    <w:basedOn w:val="809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9" w:customStyle="1">
    <w:name w:val="Заголовок 8 Знак"/>
    <w:basedOn w:val="809"/>
    <w:link w:val="807"/>
    <w:uiPriority w:val="9"/>
    <w:rPr>
      <w:rFonts w:ascii="Arial" w:hAnsi="Arial" w:eastAsia="Arial" w:cs="Arial"/>
      <w:i/>
      <w:iCs/>
      <w:sz w:val="22"/>
      <w:szCs w:val="22"/>
    </w:rPr>
  </w:style>
  <w:style w:type="character" w:styleId="830" w:customStyle="1">
    <w:name w:val="Заголовок 9 Знак"/>
    <w:basedOn w:val="809"/>
    <w:link w:val="808"/>
    <w:uiPriority w:val="9"/>
    <w:rPr>
      <w:rFonts w:ascii="Arial" w:hAnsi="Arial" w:eastAsia="Arial" w:cs="Arial"/>
      <w:i/>
      <w:iCs/>
      <w:sz w:val="21"/>
      <w:szCs w:val="21"/>
    </w:rPr>
  </w:style>
  <w:style w:type="character" w:styleId="831" w:customStyle="1">
    <w:name w:val="Title Char"/>
    <w:basedOn w:val="809"/>
    <w:uiPriority w:val="10"/>
    <w:rPr>
      <w:sz w:val="48"/>
      <w:szCs w:val="48"/>
    </w:rPr>
  </w:style>
  <w:style w:type="paragraph" w:styleId="832">
    <w:name w:val="Subtitle"/>
    <w:basedOn w:val="799"/>
    <w:next w:val="799"/>
    <w:link w:val="833"/>
    <w:uiPriority w:val="11"/>
    <w:qFormat/>
    <w:pPr>
      <w:spacing w:before="200" w:after="200"/>
    </w:pPr>
    <w:rPr>
      <w:sz w:val="24"/>
      <w:szCs w:val="24"/>
    </w:rPr>
  </w:style>
  <w:style w:type="character" w:styleId="833" w:customStyle="1">
    <w:name w:val="Подзаголовок Знак"/>
    <w:basedOn w:val="809"/>
    <w:link w:val="832"/>
    <w:uiPriority w:val="11"/>
    <w:rPr>
      <w:sz w:val="24"/>
      <w:szCs w:val="24"/>
    </w:rPr>
  </w:style>
  <w:style w:type="paragraph" w:styleId="834">
    <w:name w:val="Quote"/>
    <w:basedOn w:val="799"/>
    <w:next w:val="799"/>
    <w:link w:val="835"/>
    <w:uiPriority w:val="29"/>
    <w:qFormat/>
    <w:pPr>
      <w:ind w:left="720" w:right="720"/>
    </w:pPr>
    <w:rPr>
      <w:i/>
    </w:rPr>
  </w:style>
  <w:style w:type="character" w:styleId="835" w:customStyle="1">
    <w:name w:val="Цитата 2 Знак"/>
    <w:link w:val="834"/>
    <w:uiPriority w:val="29"/>
    <w:rPr>
      <w:i/>
    </w:rPr>
  </w:style>
  <w:style w:type="paragraph" w:styleId="836">
    <w:name w:val="Intense Quote"/>
    <w:basedOn w:val="799"/>
    <w:next w:val="799"/>
    <w:link w:val="8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7" w:customStyle="1">
    <w:name w:val="Выделенная цитата Знак"/>
    <w:link w:val="836"/>
    <w:uiPriority w:val="30"/>
    <w:rPr>
      <w:i/>
    </w:rPr>
  </w:style>
  <w:style w:type="character" w:styleId="838" w:customStyle="1">
    <w:name w:val="Header Char"/>
    <w:basedOn w:val="809"/>
    <w:uiPriority w:val="99"/>
  </w:style>
  <w:style w:type="character" w:styleId="839" w:customStyle="1">
    <w:name w:val="Footer Char"/>
    <w:basedOn w:val="809"/>
    <w:uiPriority w:val="99"/>
  </w:style>
  <w:style w:type="paragraph" w:styleId="840">
    <w:name w:val="Caption"/>
    <w:basedOn w:val="799"/>
    <w:next w:val="79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41" w:customStyle="1">
    <w:name w:val="Caption Char"/>
    <w:uiPriority w:val="99"/>
  </w:style>
  <w:style w:type="table" w:styleId="842" w:customStyle="1">
    <w:name w:val="Table Grid Light"/>
    <w:basedOn w:val="8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3">
    <w:name w:val="Plain Table 1"/>
    <w:basedOn w:val="8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>
    <w:name w:val="Plain Table 2"/>
    <w:basedOn w:val="8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3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6">
    <w:name w:val="Plain Table 4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Plain Table 5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8">
    <w:name w:val="Grid Table 1 Light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4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0" w:customStyle="1">
    <w:name w:val="Grid Table 4 - Accent 1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71" w:customStyle="1">
    <w:name w:val="Grid Table 4 - Accent 2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72" w:customStyle="1">
    <w:name w:val="Grid Table 4 - Accent 3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73" w:customStyle="1">
    <w:name w:val="Grid Table 4 - Accent 4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74" w:customStyle="1">
    <w:name w:val="Grid Table 4 - Accent 5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75" w:customStyle="1">
    <w:name w:val="Grid Table 4 - Accent 6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76">
    <w:name w:val="Grid Table 5 Dark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83">
    <w:name w:val="Grid Table 6 Colorful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4" w:customStyle="1">
    <w:name w:val="Grid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85" w:customStyle="1">
    <w:name w:val="Grid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86" w:customStyle="1">
    <w:name w:val="Grid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87" w:customStyle="1">
    <w:name w:val="Grid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88" w:customStyle="1">
    <w:name w:val="Grid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9" w:customStyle="1">
    <w:name w:val="Grid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0">
    <w:name w:val="Grid Table 7 Colorful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Grid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Grid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Grid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Grid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Grid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6" w:customStyle="1">
    <w:name w:val="Grid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7">
    <w:name w:val="List Table 1 Light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1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2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3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4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5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6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11">
    <w:name w:val="List Table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5 Dark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>
    <w:name w:val="List Table 6 Colorful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3" w:customStyle="1">
    <w:name w:val="List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34" w:customStyle="1">
    <w:name w:val="List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35" w:customStyle="1">
    <w:name w:val="List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36" w:customStyle="1">
    <w:name w:val="List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37" w:customStyle="1">
    <w:name w:val="List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38" w:customStyle="1">
    <w:name w:val="List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9">
    <w:name w:val="List Table 7 Colorful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0" w:customStyle="1">
    <w:name w:val="List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1" w:customStyle="1">
    <w:name w:val="List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2" w:customStyle="1">
    <w:name w:val="List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3" w:customStyle="1">
    <w:name w:val="List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4" w:customStyle="1">
    <w:name w:val="List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5" w:customStyle="1">
    <w:name w:val="List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6" w:customStyle="1">
    <w:name w:val="Lined - Accent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7" w:customStyle="1">
    <w:name w:val="Lined - Accent 1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8" w:customStyle="1">
    <w:name w:val="Lined - Accent 2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9" w:customStyle="1">
    <w:name w:val="Lined - Accent 3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0" w:customStyle="1">
    <w:name w:val="Lined - Accent 4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1" w:customStyle="1">
    <w:name w:val="Lined - Accent 5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2" w:customStyle="1">
    <w:name w:val="Lined - Accent 6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3" w:customStyle="1">
    <w:name w:val="Bordered &amp; Lined - Accent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4" w:customStyle="1">
    <w:name w:val="Bordered &amp; Lined - Accent 1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55" w:customStyle="1">
    <w:name w:val="Bordered &amp; Lined - Accent 2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6" w:customStyle="1">
    <w:name w:val="Bordered &amp; Lined - Accent 3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7" w:customStyle="1">
    <w:name w:val="Bordered &amp; Lined - Accent 4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8" w:customStyle="1">
    <w:name w:val="Bordered &amp; Lined - Accent 5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9" w:customStyle="1">
    <w:name w:val="Bordered &amp; Lined - Accent 6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60" w:customStyle="1">
    <w:name w:val="Bordered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1" w:customStyle="1">
    <w:name w:val="Bordered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62" w:customStyle="1">
    <w:name w:val="Bordered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63" w:customStyle="1">
    <w:name w:val="Bordered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64" w:customStyle="1">
    <w:name w:val="Bordered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65" w:customStyle="1">
    <w:name w:val="Bordered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66" w:customStyle="1">
    <w:name w:val="Bordered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67" w:customStyle="1">
    <w:name w:val="Footnote Text Char"/>
    <w:uiPriority w:val="99"/>
    <w:rPr>
      <w:sz w:val="18"/>
    </w:rPr>
  </w:style>
  <w:style w:type="paragraph" w:styleId="968">
    <w:name w:val="endnote text"/>
    <w:basedOn w:val="799"/>
    <w:link w:val="969"/>
    <w:uiPriority w:val="99"/>
    <w:semiHidden/>
    <w:unhideWhenUsed/>
    <w:pPr>
      <w:spacing w:after="0" w:line="240" w:lineRule="auto"/>
    </w:pPr>
    <w:rPr>
      <w:sz w:val="20"/>
    </w:rPr>
  </w:style>
  <w:style w:type="character" w:styleId="969" w:customStyle="1">
    <w:name w:val="Текст концевой сноски Знак"/>
    <w:link w:val="968"/>
    <w:uiPriority w:val="99"/>
    <w:rPr>
      <w:sz w:val="20"/>
    </w:rPr>
  </w:style>
  <w:style w:type="character" w:styleId="970">
    <w:name w:val="endnote reference"/>
    <w:basedOn w:val="809"/>
    <w:uiPriority w:val="99"/>
    <w:semiHidden/>
    <w:unhideWhenUsed/>
    <w:rPr>
      <w:vertAlign w:val="superscript"/>
    </w:rPr>
  </w:style>
  <w:style w:type="paragraph" w:styleId="971">
    <w:name w:val="toc 1"/>
    <w:basedOn w:val="799"/>
    <w:next w:val="799"/>
    <w:uiPriority w:val="39"/>
    <w:unhideWhenUsed/>
    <w:pPr>
      <w:spacing w:after="57"/>
    </w:pPr>
  </w:style>
  <w:style w:type="paragraph" w:styleId="972">
    <w:name w:val="toc 2"/>
    <w:basedOn w:val="799"/>
    <w:next w:val="799"/>
    <w:uiPriority w:val="39"/>
    <w:unhideWhenUsed/>
    <w:pPr>
      <w:ind w:left="283"/>
      <w:spacing w:after="57"/>
    </w:pPr>
  </w:style>
  <w:style w:type="paragraph" w:styleId="973">
    <w:name w:val="toc 3"/>
    <w:basedOn w:val="799"/>
    <w:next w:val="799"/>
    <w:uiPriority w:val="39"/>
    <w:unhideWhenUsed/>
    <w:pPr>
      <w:ind w:left="567"/>
      <w:spacing w:after="57"/>
    </w:pPr>
  </w:style>
  <w:style w:type="paragraph" w:styleId="974">
    <w:name w:val="toc 4"/>
    <w:basedOn w:val="799"/>
    <w:next w:val="799"/>
    <w:uiPriority w:val="39"/>
    <w:unhideWhenUsed/>
    <w:pPr>
      <w:ind w:left="850"/>
      <w:spacing w:after="57"/>
    </w:pPr>
  </w:style>
  <w:style w:type="paragraph" w:styleId="975">
    <w:name w:val="toc 5"/>
    <w:basedOn w:val="799"/>
    <w:next w:val="799"/>
    <w:uiPriority w:val="39"/>
    <w:unhideWhenUsed/>
    <w:pPr>
      <w:ind w:left="1134"/>
      <w:spacing w:after="57"/>
    </w:pPr>
  </w:style>
  <w:style w:type="paragraph" w:styleId="976">
    <w:name w:val="toc 6"/>
    <w:basedOn w:val="799"/>
    <w:next w:val="799"/>
    <w:uiPriority w:val="39"/>
    <w:unhideWhenUsed/>
    <w:pPr>
      <w:ind w:left="1417"/>
      <w:spacing w:after="57"/>
    </w:pPr>
  </w:style>
  <w:style w:type="paragraph" w:styleId="977">
    <w:name w:val="toc 7"/>
    <w:basedOn w:val="799"/>
    <w:next w:val="799"/>
    <w:uiPriority w:val="39"/>
    <w:unhideWhenUsed/>
    <w:pPr>
      <w:ind w:left="1701"/>
      <w:spacing w:after="57"/>
    </w:pPr>
  </w:style>
  <w:style w:type="paragraph" w:styleId="978">
    <w:name w:val="toc 8"/>
    <w:basedOn w:val="799"/>
    <w:next w:val="799"/>
    <w:uiPriority w:val="39"/>
    <w:unhideWhenUsed/>
    <w:pPr>
      <w:ind w:left="1984"/>
      <w:spacing w:after="57"/>
    </w:pPr>
  </w:style>
  <w:style w:type="paragraph" w:styleId="979">
    <w:name w:val="toc 9"/>
    <w:basedOn w:val="799"/>
    <w:next w:val="799"/>
    <w:uiPriority w:val="39"/>
    <w:unhideWhenUsed/>
    <w:pPr>
      <w:ind w:left="2268"/>
      <w:spacing w:after="57"/>
    </w:pPr>
  </w:style>
  <w:style w:type="paragraph" w:styleId="980">
    <w:name w:val="TOC Heading"/>
    <w:uiPriority w:val="39"/>
    <w:unhideWhenUsed/>
  </w:style>
  <w:style w:type="paragraph" w:styleId="981">
    <w:name w:val="table of figures"/>
    <w:basedOn w:val="799"/>
    <w:next w:val="799"/>
    <w:uiPriority w:val="99"/>
    <w:unhideWhenUsed/>
    <w:pPr>
      <w:spacing w:after="0"/>
    </w:pPr>
  </w:style>
  <w:style w:type="paragraph" w:styleId="982">
    <w:name w:val="List Paragraph"/>
    <w:basedOn w:val="799"/>
    <w:link w:val="990"/>
    <w:uiPriority w:val="34"/>
    <w:qFormat/>
    <w:pPr>
      <w:contextualSpacing/>
      <w:ind w:left="720"/>
    </w:pPr>
  </w:style>
  <w:style w:type="paragraph" w:styleId="983">
    <w:name w:val="Balloon Text"/>
    <w:basedOn w:val="799"/>
    <w:link w:val="98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84" w:customStyle="1">
    <w:name w:val="Текст выноски Знак"/>
    <w:basedOn w:val="809"/>
    <w:link w:val="983"/>
    <w:uiPriority w:val="99"/>
    <w:semiHidden/>
    <w:rPr>
      <w:rFonts w:ascii="Segoe UI" w:hAnsi="Segoe UI" w:cs="Segoe UI"/>
      <w:sz w:val="18"/>
      <w:szCs w:val="18"/>
    </w:rPr>
  </w:style>
  <w:style w:type="character" w:styleId="985" w:customStyle="1">
    <w:name w:val="Без интервала Знак"/>
    <w:link w:val="986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6">
    <w:name w:val="No Spacing"/>
    <w:link w:val="985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7" w:customStyle="1">
    <w:name w:val="ConsPlusNormal"/>
    <w:link w:val="1020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88" w:customStyle="1">
    <w:name w:val="Default"/>
    <w:qFormat/>
    <w:pPr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989">
    <w:name w:val="Hyperlink"/>
    <w:basedOn w:val="809"/>
    <w:uiPriority w:val="99"/>
    <w:unhideWhenUsed/>
    <w:rPr>
      <w:color w:val="0000ff"/>
      <w:u w:val="single"/>
    </w:rPr>
  </w:style>
  <w:style w:type="character" w:styleId="990" w:customStyle="1">
    <w:name w:val="Абзац списка Знак"/>
    <w:link w:val="982"/>
    <w:uiPriority w:val="34"/>
  </w:style>
  <w:style w:type="paragraph" w:styleId="991">
    <w:name w:val="Title"/>
    <w:basedOn w:val="799"/>
    <w:link w:val="992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992" w:customStyle="1">
    <w:name w:val="Заголовок Знак"/>
    <w:basedOn w:val="809"/>
    <w:link w:val="991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table" w:styleId="993">
    <w:name w:val="Table Grid"/>
    <w:basedOn w:val="8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4" w:customStyle="1">
    <w:name w:val="Алексей"/>
    <w:basedOn w:val="799"/>
    <w:qFormat/>
    <w:pPr>
      <w:ind w:firstLine="709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95" w:customStyle="1">
    <w:name w:val="Основной текст_"/>
    <w:basedOn w:val="809"/>
    <w:link w:val="996"/>
    <w:rPr>
      <w:rFonts w:ascii="Times New Roman" w:hAnsi="Times New Roman" w:eastAsia="Times New Roman" w:cs="Times New Roman"/>
      <w:shd w:val="clear" w:color="auto" w:fill="ffffff"/>
    </w:rPr>
  </w:style>
  <w:style w:type="paragraph" w:styleId="996" w:customStyle="1">
    <w:name w:val="Основной текст8"/>
    <w:basedOn w:val="799"/>
    <w:link w:val="995"/>
    <w:pPr>
      <w:spacing w:before="420" w:after="300" w:line="274" w:lineRule="exact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character" w:styleId="997">
    <w:name w:val="annotation reference"/>
    <w:basedOn w:val="809"/>
    <w:uiPriority w:val="99"/>
    <w:semiHidden/>
    <w:unhideWhenUsed/>
    <w:rPr>
      <w:sz w:val="16"/>
      <w:szCs w:val="16"/>
    </w:rPr>
  </w:style>
  <w:style w:type="paragraph" w:styleId="998">
    <w:name w:val="annotation text"/>
    <w:basedOn w:val="799"/>
    <w:link w:val="999"/>
    <w:uiPriority w:val="99"/>
    <w:unhideWhenUsed/>
    <w:pPr>
      <w:spacing w:line="240" w:lineRule="auto"/>
    </w:pPr>
    <w:rPr>
      <w:sz w:val="20"/>
      <w:szCs w:val="20"/>
    </w:rPr>
  </w:style>
  <w:style w:type="character" w:styleId="999" w:customStyle="1">
    <w:name w:val="Текст примечания Знак"/>
    <w:basedOn w:val="809"/>
    <w:link w:val="998"/>
    <w:uiPriority w:val="99"/>
    <w:rPr>
      <w:sz w:val="20"/>
      <w:szCs w:val="20"/>
    </w:rPr>
  </w:style>
  <w:style w:type="paragraph" w:styleId="1000">
    <w:name w:val="annotation subject"/>
    <w:basedOn w:val="998"/>
    <w:next w:val="998"/>
    <w:link w:val="1001"/>
    <w:uiPriority w:val="99"/>
    <w:semiHidden/>
    <w:unhideWhenUsed/>
    <w:rPr>
      <w:b/>
      <w:bCs/>
    </w:rPr>
  </w:style>
  <w:style w:type="character" w:styleId="1001" w:customStyle="1">
    <w:name w:val="Тема примечания Знак"/>
    <w:basedOn w:val="999"/>
    <w:link w:val="1000"/>
    <w:uiPriority w:val="99"/>
    <w:semiHidden/>
    <w:rPr>
      <w:b/>
      <w:bCs/>
      <w:sz w:val="20"/>
      <w:szCs w:val="20"/>
    </w:rPr>
  </w:style>
  <w:style w:type="paragraph" w:styleId="1002" w:customStyle="1">
    <w:name w:val="formattext"/>
    <w:basedOn w:val="7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3">
    <w:name w:val="Normal (Web)"/>
    <w:basedOn w:val="79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4">
    <w:name w:val="Revision"/>
    <w:hidden/>
    <w:uiPriority w:val="99"/>
    <w:semiHidden/>
    <w:pPr>
      <w:spacing w:after="0" w:line="240" w:lineRule="auto"/>
    </w:pPr>
  </w:style>
  <w:style w:type="paragraph" w:styleId="1005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06" w:customStyle="1">
    <w:name w:val="Заголовок 2 Знак"/>
    <w:basedOn w:val="809"/>
    <w:link w:val="801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1007">
    <w:name w:val="Emphasis"/>
    <w:basedOn w:val="809"/>
    <w:uiPriority w:val="20"/>
    <w:qFormat/>
    <w:rPr>
      <w:i/>
      <w:iCs/>
    </w:rPr>
  </w:style>
  <w:style w:type="character" w:styleId="1008">
    <w:name w:val="Strong"/>
    <w:basedOn w:val="809"/>
    <w:uiPriority w:val="22"/>
    <w:qFormat/>
    <w:rPr>
      <w:b/>
      <w:bCs/>
    </w:rPr>
  </w:style>
  <w:style w:type="character" w:styleId="1009" w:customStyle="1">
    <w:name w:val="Заголовок 3 Знак"/>
    <w:basedOn w:val="809"/>
    <w:link w:val="802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1010">
    <w:name w:val="Header"/>
    <w:basedOn w:val="799"/>
    <w:link w:val="10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11" w:customStyle="1">
    <w:name w:val="Верхний колонтитул Знак"/>
    <w:basedOn w:val="809"/>
    <w:link w:val="1010"/>
    <w:uiPriority w:val="99"/>
  </w:style>
  <w:style w:type="paragraph" w:styleId="1012">
    <w:name w:val="Footer"/>
    <w:basedOn w:val="799"/>
    <w:link w:val="10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13" w:customStyle="1">
    <w:name w:val="Нижний колонтитул Знак"/>
    <w:basedOn w:val="809"/>
    <w:link w:val="1012"/>
    <w:uiPriority w:val="99"/>
  </w:style>
  <w:style w:type="character" w:styleId="1014" w:customStyle="1">
    <w:name w:val="Заголовок 1 Знак"/>
    <w:basedOn w:val="809"/>
    <w:link w:val="80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1015">
    <w:name w:val="footnote text"/>
    <w:basedOn w:val="799"/>
    <w:link w:val="1016"/>
    <w:unhideWhenUsed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ar-SA"/>
    </w:rPr>
  </w:style>
  <w:style w:type="character" w:styleId="1016" w:customStyle="1">
    <w:name w:val="Текст сноски Знак"/>
    <w:basedOn w:val="809"/>
    <w:link w:val="1015"/>
    <w:rPr>
      <w:rFonts w:ascii="Times New Roman" w:hAnsi="Times New Roman" w:eastAsia="SimSun" w:cs="Times New Roman"/>
      <w:sz w:val="20"/>
      <w:szCs w:val="20"/>
      <w:lang w:eastAsia="ar-SA"/>
    </w:rPr>
  </w:style>
  <w:style w:type="paragraph" w:styleId="1017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character" w:styleId="1018">
    <w:name w:val="footnote reference"/>
    <w:basedOn w:val="809"/>
    <w:uiPriority w:val="99"/>
    <w:semiHidden/>
    <w:unhideWhenUsed/>
    <w:rPr>
      <w:vertAlign w:val="superscript"/>
    </w:rPr>
  </w:style>
  <w:style w:type="character" w:styleId="1019">
    <w:name w:val="FollowedHyperlink"/>
    <w:basedOn w:val="809"/>
    <w:uiPriority w:val="99"/>
    <w:semiHidden/>
    <w:unhideWhenUsed/>
    <w:rPr>
      <w:color w:val="954f72" w:themeColor="followedHyperlink"/>
      <w:u w:val="single"/>
    </w:rPr>
  </w:style>
  <w:style w:type="character" w:styleId="1020" w:customStyle="1">
    <w:name w:val="ConsPlusNormal Знак"/>
    <w:link w:val="987"/>
    <w:rPr>
      <w:rFonts w:ascii="Calibri" w:hAnsi="Calibri" w:eastAsia="Times New Roman" w:cs="Calibri"/>
      <w:szCs w:val="20"/>
      <w:lang w:eastAsia="ru-RU"/>
    </w:rPr>
  </w:style>
  <w:style w:type="paragraph" w:styleId="1021" w:customStyle="1">
    <w:name w:val="docdata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0391D053B6F914035754F3D5BEC8A75C62DBBAF320BB3E105424BFF5180C62661648701769C3831AC740EC893BA6B0BBF6468451E8A4C8461A3BE63AdBU0C" TargetMode="External"/><Relationship Id="rId13" Type="http://schemas.openxmlformats.org/officeDocument/2006/relationships/hyperlink" Target="consultantplus://offline/ref=AAFBC32F7EC24F85AC0E98BEDE9D89D4BF6D06C8E9FAD03FD44CF525C38F38DE2E75A0A93DBD8698C0F8BE33EAvDw5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internet.garant.ru/" TargetMode="External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4EBD-A62E-4AB7-AE8C-539F8EA8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Анатольевна</dc:creator>
  <cp:keywords/>
  <dc:description/>
  <cp:revision>14</cp:revision>
  <dcterms:created xsi:type="dcterms:W3CDTF">2024-08-30T06:39:00Z</dcterms:created>
  <dcterms:modified xsi:type="dcterms:W3CDTF">2025-05-22T03:47:04Z</dcterms:modified>
</cp:coreProperties>
</file>