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приказу министерства 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Новосибирский области </w:t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№  ______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«УТВЕРЖДЕН</w:t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Новосибирский области </w:t>
      </w:r>
      <w:r>
        <w:rPr>
          <w:sz w:val="28"/>
          <w:szCs w:val="28"/>
          <w14:ligatures w14:val="none"/>
        </w:rPr>
      </w:r>
    </w:p>
    <w:p>
      <w:pPr>
        <w:ind w:left="10063" w:right="0" w:firstLine="0"/>
        <w:jc w:val="center"/>
        <w:shd w:val="nil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от 14.04.2023 № 46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3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едомственный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видов товаров, работ, услуг, </w:t>
      </w:r>
      <w:r>
        <w:rPr>
          <w:rFonts w:cs="Calibri"/>
          <w:b/>
          <w:bCs/>
          <w:sz w:val="28"/>
          <w:szCs w:val="28"/>
        </w:rPr>
        <w:t xml:space="preserve">закупаемых министерством 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их потребительски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свойств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(в том числе качеств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) и ины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(в том числе предельны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цен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товаров, работ, услуг)</w:t>
      </w:r>
      <w:r>
        <w:rPr>
          <w:b/>
          <w:sz w:val="28"/>
          <w:szCs w:val="28"/>
        </w:rPr>
      </w:r>
    </w:p>
    <w:p>
      <w:pPr>
        <w:pStyle w:val="6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566" w:type="dxa"/>
        <w:tblInd w:w="-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389"/>
        <w:gridCol w:w="1304"/>
        <w:gridCol w:w="1276"/>
        <w:gridCol w:w="1843"/>
        <w:gridCol w:w="1843"/>
        <w:gridCol w:w="1701"/>
        <w:gridCol w:w="1842"/>
        <w:gridCol w:w="1587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№ п/п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Код</w:t>
            </w:r>
            <w:r/>
          </w:p>
          <w:p>
            <w:pPr>
              <w:pStyle w:val="634"/>
              <w:jc w:val="center"/>
            </w:pPr>
            <w:r>
              <w:t xml:space="preserve">по ОКПД</w:t>
            </w:r>
            <w:r>
              <w:t xml:space="preserve">2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Наименование отдельного вида товаров, работ, услуг</w:t>
            </w:r>
            <w:r/>
          </w:p>
        </w:tc>
        <w:tc>
          <w:tcPr>
            <w:gridSpan w:val="2"/>
            <w:tcW w:w="258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gridSpan w:val="2"/>
            <w:tcW w:w="368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keepNext/>
              <w:widowControl w:val="off"/>
            </w:pPr>
            <w:r>
              <w:t xml:space="preserve">Требования к потребительским свойствам (в том числе качеству) и иным характеристикам, утвержденные Правительством </w:t>
            </w:r>
            <w:r>
              <w:t xml:space="preserve">Новосибирской обл</w:t>
            </w:r>
            <w:r>
              <w:t xml:space="preserve">а</w:t>
            </w:r>
            <w:r>
              <w:t xml:space="preserve">сти</w:t>
            </w:r>
            <w:r/>
          </w:p>
        </w:tc>
        <w:tc>
          <w:tcPr>
            <w:gridSpan w:val="4"/>
            <w:tcW w:w="620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t xml:space="preserve">министерством экономического развития Новосибирской области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код </w:t>
            </w:r>
            <w:r/>
          </w:p>
          <w:p>
            <w:pPr>
              <w:pStyle w:val="634"/>
              <w:jc w:val="center"/>
            </w:pPr>
            <w:r>
              <w:t xml:space="preserve">по ОКЕИ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наименование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keepNext/>
              <w:widowControl w:val="off"/>
            </w:pPr>
            <w:r>
              <w:t xml:space="preserve">характеристика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keepNext/>
              <w:widowControl w:val="off"/>
            </w:pPr>
            <w:r>
              <w:t xml:space="preserve">значение </w:t>
            </w:r>
            <w:r>
              <w:t xml:space="preserve">характеристики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характеристика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значение характеристики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обоснование отклонения значения характеристики от</w:t>
            </w:r>
            <w:r>
              <w:t xml:space="preserve"> </w:t>
            </w:r>
            <w:r>
              <w:t xml:space="preserve">утвержденной Правительством </w:t>
            </w:r>
            <w:r>
              <w:t xml:space="preserve">Новосибирской области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ф</w:t>
            </w:r>
            <w:r>
              <w:t xml:space="preserve">ункци</w:t>
            </w:r>
            <w:r>
              <w:t xml:space="preserve">-</w:t>
            </w:r>
            <w:r/>
          </w:p>
          <w:p>
            <w:pPr>
              <w:pStyle w:val="634"/>
              <w:ind w:right="-28" w:hanging="28"/>
              <w:jc w:val="center"/>
            </w:pPr>
            <w:r>
              <w:t xml:space="preserve">ональное назна</w:t>
            </w:r>
            <w:r>
              <w:t xml:space="preserve">-</w:t>
            </w:r>
            <w:r/>
          </w:p>
          <w:p>
            <w:pPr>
              <w:pStyle w:val="634"/>
              <w:ind w:right="-28" w:hanging="28"/>
              <w:jc w:val="center"/>
            </w:pPr>
            <w:r>
              <w:t xml:space="preserve">чение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</w:t>
            </w:r>
            <w:r>
              <w:t xml:space="preserve">е</w:t>
            </w:r>
            <w:r>
              <w:t xml:space="preserve"> приложением № </w:t>
            </w:r>
            <w:r>
              <w:t xml:space="preserve">2</w:t>
            </w:r>
            <w:r>
              <w:t xml:space="preserve"> к </w:t>
            </w:r>
            <w:r>
              <w:t xml:space="preserve">Правилам </w:t>
            </w:r>
            <w:r>
              <w:t xml:space="preserve">определения требований к закупаемым органами государственной власти Новосибирской области, гос</w:t>
            </w:r>
            <w:r>
              <w:t xml:space="preserve">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</w:t>
            </w:r>
            <w:r>
              <w:t xml:space="preserve">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</w:t>
            </w:r>
            <w:r>
              <w:t xml:space="preserve">, утвержденным постановлением Правительства </w:t>
            </w:r>
            <w:r>
              <w:t xml:space="preserve">Новосибирской области</w:t>
            </w:r>
            <w:r>
              <w:t xml:space="preserve"> от 30.12.2015 № 488-п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/>
              </w:rPr>
            </w:pPr>
            <w:r>
              <w:rPr>
                <w:b/>
              </w:rPr>
              <w:t xml:space="preserve">1. </w:t>
            </w:r>
            <w:r>
              <w:rPr>
                <w:b/>
              </w:rPr>
              <w:t xml:space="preserve">Руководитель или заместитель руководителя органа государственной </w:t>
            </w:r>
            <w:r>
              <w:rPr>
                <w:b/>
              </w:rPr>
              <w:t xml:space="preserve">власти Новосибирской области, государственного органа Новосибирской области </w:t>
            </w:r>
            <w:r>
              <w:rPr>
                <w:b/>
              </w:rPr>
              <w:t xml:space="preserve">(должность относящаяся к высшей или главной группе должностей категории «руководители»)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26.30.11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Аппаратура коммуникационная передающая с приемными устройствами</w:t>
            </w:r>
            <w:r>
              <w:t xml:space="preserve">.</w:t>
            </w:r>
            <w:r/>
          </w:p>
          <w:p>
            <w:pPr>
              <w:pStyle w:val="634"/>
            </w:pPr>
            <w:r>
              <w:t xml:space="preserve">Пояснения по требуемой продукции: телефоны мобильные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1.1</w:t>
            </w:r>
            <w:r>
              <w:t xml:space="preserve">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26.30.11.120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rPr>
                <w:strike/>
              </w:rPr>
            </w:pPr>
            <w:r>
              <w:t xml:space="preserve">Средства связи, выполняющие функцию цифровых транспортных систем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устройства (телефон/смартфон)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</w:t>
            </w:r>
            <w:r>
              <w:t xml:space="preserve">редельное значение: смарт</w:t>
            </w:r>
            <w:r>
              <w:t xml:space="preserve">фон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поддерживаемые стандарты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</w:t>
            </w:r>
            <w:r>
              <w:t xml:space="preserve">редельное значение: </w:t>
            </w:r>
            <w:r>
              <w:rPr>
                <w:lang w:val="en-US"/>
              </w:rPr>
              <w:t xml:space="preserve">Wi</w:t>
            </w:r>
            <w:r>
              <w:t xml:space="preserve">-</w:t>
            </w:r>
            <w:r>
              <w:rPr>
                <w:lang w:val="en-US"/>
              </w:rPr>
              <w:t xml:space="preserve">Fi</w:t>
            </w:r>
            <w:r>
              <w:t xml:space="preserve">, </w:t>
            </w:r>
            <w:r>
              <w:rPr>
                <w:lang w:val="en-US"/>
              </w:rPr>
              <w:t xml:space="preserve">Bluetooth</w:t>
            </w:r>
            <w:r>
              <w:t xml:space="preserve">, </w:t>
            </w:r>
            <w:r>
              <w:rPr>
                <w:lang w:val="en-US"/>
              </w:rPr>
              <w:t xml:space="preserve">UMTS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+/</w:t>
            </w:r>
            <w:r>
              <w:rPr>
                <w:lang w:val="en-US"/>
              </w:rPr>
              <w:t xml:space="preserve">DC</w:t>
            </w:r>
            <w:r>
              <w:t xml:space="preserve">-</w:t>
            </w:r>
            <w:r>
              <w:rPr>
                <w:lang w:val="en-US"/>
              </w:rPr>
              <w:t xml:space="preserve">HSDPA</w:t>
            </w:r>
            <w:r>
              <w:t xml:space="preserve"> (850, 900, 1900, 2100 </w:t>
            </w:r>
            <w:r>
              <w:rPr>
                <w:lang w:val="en-US"/>
              </w:rPr>
              <w:t xml:space="preserve">MHz</w:t>
            </w:r>
            <w:r>
              <w:t xml:space="preserve">); </w:t>
            </w:r>
            <w:r>
              <w:rPr>
                <w:lang w:val="en-US"/>
              </w:rPr>
              <w:t xml:space="preserve">GSM</w:t>
            </w:r>
            <w:r>
              <w:t xml:space="preserve">/</w:t>
            </w:r>
            <w:r>
              <w:rPr>
                <w:lang w:val="en-US"/>
              </w:rPr>
              <w:t xml:space="preserve">EDGE</w:t>
            </w:r>
            <w:r>
              <w:t xml:space="preserve"> (850, 900</w:t>
            </w:r>
            <w:r>
              <w:t xml:space="preserve">, 18</w:t>
            </w:r>
            <w:r>
              <w:t xml:space="preserve">00, 1900, </w:t>
            </w:r>
            <w:r>
              <w:rPr>
                <w:lang w:val="en-US"/>
              </w:rPr>
              <w:t xml:space="preserve">MHz</w:t>
            </w:r>
            <w:r>
              <w:t xml:space="preserve">), </w:t>
            </w:r>
            <w:r>
              <w:t xml:space="preserve">ГЛОНАСС, </w:t>
            </w:r>
            <w:r>
              <w:rPr>
                <w:lang w:val="en-US"/>
              </w:rPr>
              <w:t xml:space="preserve">GPRS</w:t>
            </w:r>
            <w:r>
              <w:t xml:space="preserve"> (</w:t>
            </w:r>
            <w:r>
              <w:rPr>
                <w:lang w:val="en-US"/>
              </w:rPr>
              <w:t xml:space="preserve">A</w:t>
            </w:r>
            <w:r>
              <w:t xml:space="preserve">-</w:t>
            </w:r>
            <w:r>
              <w:rPr>
                <w:lang w:val="en-US"/>
              </w:rPr>
              <w:t xml:space="preserve">GPS</w:t>
            </w:r>
            <w:r>
              <w:t xml:space="preserve">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операционная система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356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час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работы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менее 10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метод управления (сенсорный/кнопочный)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сенсорный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количество SIM-карт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 модулей и интерфейсов (Wi-Fi, Bluetooth, USB, GPS)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</w:t>
            </w:r>
            <w:r>
              <w:t xml:space="preserve"> </w:t>
            </w:r>
            <w:r>
              <w:t xml:space="preserve">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12 тыс.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</w:t>
            </w:r>
            <w:r>
              <w:t xml:space="preserve"> </w:t>
            </w:r>
            <w:r>
              <w:t xml:space="preserve">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12 тыс.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2.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2.1.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>
              <w:t xml:space="preserve">0</w:t>
            </w: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>
              <w:t xml:space="preserve">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</w:t>
            </w:r>
            <w:r>
              <w:t xml:space="preserve">е более 1,5</w:t>
            </w:r>
            <w:r>
              <w:t xml:space="preserve">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</w:t>
            </w:r>
            <w:r>
              <w:t xml:space="preserve">е более 1,5</w:t>
            </w:r>
            <w:r>
              <w:t xml:space="preserve">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29.10.22 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3.1</w:t>
            </w:r>
            <w:r>
              <w:t xml:space="preserve">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4.1</w:t>
            </w:r>
            <w:r>
              <w:t xml:space="preserve">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29.10.23.000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газобаллонное оборудование;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 и кнопками управления на рулевом колесе;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</w:t>
            </w:r>
            <w:r>
              <w:t xml:space="preserve">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газобаллонное оборудование;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 и кнопками управления на рулевом колесе;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29.10.24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5.1</w:t>
            </w:r>
            <w:r>
              <w:t xml:space="preserve">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29.10.24.000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аудиосистема с AUX/USB-разъемами и кнопками управления на рулевом колесе;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аудиосистема с AUX/USB-разъемами и кнопками управления на рулевом колесе;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</w:t>
            </w:r>
            <w:r>
              <w:t xml:space="preserve">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</w:t>
            </w:r>
            <w:r>
              <w:t xml:space="preserve">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металлическая для офисов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</w:t>
            </w:r>
            <w:r>
              <w:t xml:space="preserve">.1.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  <w:rPr>
                <w:lang w:val="en-US"/>
              </w:rPr>
            </w:pPr>
            <w:r>
              <w:t xml:space="preserve">Столы офисные металлические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</w:t>
            </w:r>
            <w:r>
              <w:t xml:space="preserve">.2.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>
              <w:t xml:space="preserve">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</w:t>
            </w:r>
            <w:r>
              <w:t xml:space="preserve">.3.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</w:t>
            </w:r>
            <w:r>
              <w:t xml:space="preserve"> тип дверей шкафа, 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</w:t>
            </w:r>
            <w:r>
              <w:t xml:space="preserve">;</w:t>
            </w:r>
            <w:r>
              <w:t xml:space="preserve"> сборно-разборная, сварная (неразборная)</w:t>
            </w:r>
            <w:r>
              <w:t xml:space="preserve">.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6.4.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</w:t>
            </w:r>
            <w:r>
              <w:rPr>
                <w:shd w:val="clear" w:color="auto" w:fill="ffffff"/>
              </w:rPr>
              <w:t xml:space="preserve">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раздвижные (купе), распашные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6.5.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</w:t>
            </w:r>
            <w:r>
              <w:t xml:space="preserve">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</w:t>
            </w:r>
            <w:r>
              <w:t xml:space="preserve">борно- разборная, стационарная</w:t>
            </w:r>
            <w:r/>
          </w:p>
        </w:tc>
        <w:tc>
          <w:tcPr>
            <w:tcW w:w="1587" w:type="dxa"/>
            <w:vAlign w:val="bottom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6.6.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6.7.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6.8.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6.9.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облицовочные материалы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6.10.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0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1.7.1.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0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1.7.2.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7.3.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</w:t>
            </w:r>
            <w:r>
              <w:t xml:space="preserve">строенный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м</w:t>
            </w:r>
            <w:r>
              <w:t xml:space="preserve">одульный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о</w:t>
            </w:r>
            <w:r>
              <w:t xml:space="preserve">тдельно стоящий (</w:t>
            </w:r>
            <w:r>
              <w:t xml:space="preserve">цельнокорпусный),</w:t>
            </w:r>
            <w:r/>
          </w:p>
          <w:p>
            <w:pPr>
              <w:pStyle w:val="634"/>
            </w:pPr>
            <w:r>
              <w:t xml:space="preserve">ч</w:t>
            </w:r>
            <w:r>
              <w:t xml:space="preserve">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7.4.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7.5.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7.6.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</w:t>
            </w:r>
            <w:r>
              <w:rPr>
                <w:shd w:val="clear" w:color="auto" w:fill="ffffff"/>
              </w:rPr>
              <w:t xml:space="preserve">акрытый , </w:t>
            </w:r>
            <w:r>
              <w:rPr>
                <w:shd w:val="clear" w:color="auto" w:fill="ffffff"/>
              </w:rPr>
              <w:t xml:space="preserve">п</w:t>
            </w:r>
            <w:r>
              <w:rPr>
                <w:shd w:val="clear" w:color="auto" w:fill="ffffff"/>
              </w:rPr>
              <w:t xml:space="preserve">олуоткрытый , </w:t>
            </w: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7.7.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7.8.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тумбы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ткрытая, </w:t>
            </w:r>
            <w:r>
              <w:rPr>
                <w:shd w:val="clear" w:color="auto" w:fill="ffffff"/>
              </w:rPr>
              <w:t xml:space="preserve">к</w:t>
            </w:r>
            <w:r>
              <w:rPr>
                <w:shd w:val="clear" w:color="auto" w:fill="ffffff"/>
              </w:rPr>
              <w:t xml:space="preserve">омбинированная</w:t>
            </w:r>
            <w:r>
              <w:rPr>
                <w:shd w:val="clear" w:color="auto" w:fill="ffffff"/>
              </w:rPr>
              <w:t xml:space="preserve">, з</w:t>
            </w:r>
            <w:r>
              <w:rPr>
                <w:shd w:val="clear" w:color="auto" w:fill="ffffff"/>
              </w:rPr>
              <w:t xml:space="preserve">акрытая</w:t>
            </w:r>
            <w:r>
              <w:rPr>
                <w:shd w:val="clear" w:color="auto" w:fill="ffffff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7.9.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облицовочные материалы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7.10.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8.1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легкого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электроподогрев передних и задних сидений; климат-контроль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электроподогрев передних и задних сидений; климат-контроль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63 часов в месяц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63 часов в месяц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9.1.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и задних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шторки безопасности;</w:t>
            </w:r>
            <w:r/>
          </w:p>
          <w:p>
            <w:pPr>
              <w:pStyle w:val="634"/>
            </w:pPr>
            <w:r>
              <w:t xml:space="preserve">конструкция передних сидений, снижающая вероятность травмы шеи;</w:t>
            </w:r>
            <w:r/>
          </w:p>
          <w:p>
            <w:pPr>
              <w:pStyle w:val="634"/>
            </w:pPr>
            <w:r>
              <w:t xml:space="preserve">климат-контроль, 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и задних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шторки безопасности;</w:t>
            </w:r>
            <w:r/>
          </w:p>
          <w:p>
            <w:pPr>
              <w:pStyle w:val="634"/>
            </w:pPr>
            <w:r>
              <w:t xml:space="preserve">конструкция передних сидений, снижающая вероятность травмы шеи;</w:t>
            </w:r>
            <w:r/>
          </w:p>
          <w:p>
            <w:pPr>
              <w:pStyle w:val="634"/>
            </w:pPr>
            <w:r>
              <w:t xml:space="preserve">климат-контроль, 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105 часов в месяц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105 часов в месяц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77.11.10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1.</w:t>
            </w:r>
            <w:r>
              <w:t xml:space="preserve">10.1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77.11.10.000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и задних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шторки безопасности;</w:t>
            </w:r>
            <w:r/>
          </w:p>
          <w:p>
            <w:pPr>
              <w:pStyle w:val="634"/>
            </w:pPr>
            <w:r>
              <w:t xml:space="preserve">конструкция передних сидений, снижающая вероятность травмы шеи;</w:t>
            </w:r>
            <w:r/>
          </w:p>
          <w:p>
            <w:pPr>
              <w:pStyle w:val="634"/>
            </w:pPr>
            <w:r>
              <w:t xml:space="preserve">климат-контроль, 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и задних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шторки безопасности;</w:t>
            </w:r>
            <w:r/>
          </w:p>
          <w:p>
            <w:pPr>
              <w:pStyle w:val="634"/>
            </w:pPr>
            <w:r>
              <w:t xml:space="preserve">конструкция передних сидений, снижающая вероятность травмы шеи;</w:t>
            </w:r>
            <w:r/>
          </w:p>
          <w:p>
            <w:pPr>
              <w:pStyle w:val="634"/>
            </w:pPr>
            <w:r>
              <w:t xml:space="preserve">климат-контроль, 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2. </w:t>
            </w:r>
            <w:r>
              <w:rPr>
                <w:b/>
              </w:rPr>
              <w:t xml:space="preserve">Руководитель государственного учреждения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26.30.11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Аппаратура коммуникационная передающая с приемными устройствами</w:t>
            </w:r>
            <w:r>
              <w:t xml:space="preserve">.</w:t>
            </w:r>
            <w:r/>
          </w:p>
          <w:p>
            <w:pPr>
              <w:pStyle w:val="634"/>
            </w:pPr>
            <w:r>
              <w:t xml:space="preserve">Пояснения по требуемой продукции: телефоны мобильные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1.1.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26.30.11.120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связи, выполняющие функцию цифровых транспортных систем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устройства (телефон/смартфон)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смартфон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поддерживаемые стандарты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</w:t>
            </w:r>
            <w:r>
              <w:rPr>
                <w:lang w:val="en-US"/>
              </w:rPr>
              <w:t xml:space="preserve">Wi</w:t>
            </w:r>
            <w:r>
              <w:t xml:space="preserve">-</w:t>
            </w:r>
            <w:r>
              <w:rPr>
                <w:lang w:val="en-US"/>
              </w:rPr>
              <w:t xml:space="preserve">Fi</w:t>
            </w:r>
            <w:r>
              <w:t xml:space="preserve">, </w:t>
            </w:r>
            <w:r>
              <w:rPr>
                <w:lang w:val="en-US"/>
              </w:rPr>
              <w:t xml:space="preserve">Bluetooth</w:t>
            </w:r>
            <w:r>
              <w:t xml:space="preserve">, </w:t>
            </w:r>
            <w:r>
              <w:rPr>
                <w:lang w:val="en-US"/>
              </w:rPr>
              <w:t xml:space="preserve">UMTS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+/</w:t>
            </w:r>
            <w:r>
              <w:rPr>
                <w:lang w:val="en-US"/>
              </w:rPr>
              <w:t xml:space="preserve">DC</w:t>
            </w:r>
            <w:r>
              <w:t xml:space="preserve">-</w:t>
            </w:r>
            <w:r>
              <w:rPr>
                <w:lang w:val="en-US"/>
              </w:rPr>
              <w:t xml:space="preserve">HSDPA</w:t>
            </w:r>
            <w:r>
              <w:t xml:space="preserve"> (850, 900, 1900, 2100 </w:t>
            </w:r>
            <w:r>
              <w:rPr>
                <w:lang w:val="en-US"/>
              </w:rPr>
              <w:t xml:space="preserve">MHz</w:t>
            </w:r>
            <w:r>
              <w:t xml:space="preserve">); </w:t>
            </w:r>
            <w:r>
              <w:rPr>
                <w:lang w:val="en-US"/>
              </w:rPr>
              <w:t xml:space="preserve">GSM</w:t>
            </w:r>
            <w:r>
              <w:t xml:space="preserve">/</w:t>
            </w:r>
            <w:r>
              <w:rPr>
                <w:lang w:val="en-US"/>
              </w:rPr>
              <w:t xml:space="preserve">EDGE</w:t>
            </w:r>
            <w:r>
              <w:t xml:space="preserve"> (850, 900, 1800, 1900, </w:t>
            </w:r>
            <w:r>
              <w:rPr>
                <w:lang w:val="en-US"/>
              </w:rPr>
              <w:t xml:space="preserve">MHz</w:t>
            </w:r>
            <w:r>
              <w:t xml:space="preserve">), ГЛОНАСС, </w:t>
            </w:r>
            <w:r>
              <w:rPr>
                <w:lang w:val="en-US"/>
              </w:rPr>
              <w:t xml:space="preserve">GPRS</w:t>
            </w:r>
            <w:r>
              <w:t xml:space="preserve"> (</w:t>
            </w:r>
            <w:r>
              <w:rPr>
                <w:lang w:val="en-US"/>
              </w:rPr>
              <w:t xml:space="preserve">A</w:t>
            </w:r>
            <w:r>
              <w:t xml:space="preserve">-</w:t>
            </w:r>
            <w:r>
              <w:rPr>
                <w:lang w:val="en-US"/>
              </w:rPr>
              <w:t xml:space="preserve">GPS</w:t>
            </w:r>
            <w:r>
              <w:t xml:space="preserve">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операционная система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356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час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работы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менее 10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метод управления (сенсорный/кнопочный)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сенсорный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количество SIM-карт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 модулей и интерфейсов (Wi-Fi, Bluetooth, USB, GPS)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2.1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29.10.22 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3.1.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4.1.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29.10.23.000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газобаллонное оборудование;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 и кнопками управления на рулевом колесе;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29.10.24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5.1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29.10.24.000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аудиосистема с AUX/USB-разъемами и кнопками управления на рулевом колесе;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</w:t>
            </w:r>
            <w:r>
              <w:t xml:space="preserve">ебель металлическая для офисов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>
              <w:t xml:space="preserve">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 тип двере</w:t>
            </w:r>
            <w:r>
              <w:t xml:space="preserve">й шкафа, 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распашные; сборно-разборная, сварная (неразборная)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6.4.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</w:t>
            </w:r>
            <w:r>
              <w:t xml:space="preserve">борно-разборная, </w:t>
            </w:r>
            <w:r>
              <w:t xml:space="preserve">с</w:t>
            </w:r>
            <w:r>
              <w:t xml:space="preserve">тационарная </w:t>
            </w:r>
            <w:r/>
          </w:p>
        </w:tc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6.6.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6.10.2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7.3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</w:t>
            </w:r>
            <w:r>
              <w:t xml:space="preserve">строенный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м</w:t>
            </w:r>
            <w:r>
              <w:t xml:space="preserve">одульный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о</w:t>
            </w:r>
            <w:r>
              <w:t xml:space="preserve">тдельно стоящий (</w:t>
            </w:r>
            <w:r>
              <w:t xml:space="preserve">ц</w:t>
            </w:r>
            <w:r>
              <w:t xml:space="preserve">ельнокорпусный)</w:t>
            </w:r>
            <w:r>
              <w:t xml:space="preserve">, ч</w:t>
            </w:r>
            <w:r>
              <w:t xml:space="preserve">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7.6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закрытый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п</w:t>
            </w:r>
            <w:r>
              <w:rPr>
                <w:shd w:val="clear" w:color="auto" w:fill="ffffff"/>
              </w:rPr>
              <w:t xml:space="preserve">олуоткрытый, </w:t>
            </w: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 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7.8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тумбы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ткрытая, </w:t>
            </w:r>
            <w:r>
              <w:rPr>
                <w:shd w:val="clear" w:color="auto" w:fill="ffffff"/>
              </w:rPr>
              <w:t xml:space="preserve">к</w:t>
            </w:r>
            <w:r>
              <w:rPr>
                <w:shd w:val="clear" w:color="auto" w:fill="ffffff"/>
              </w:rPr>
              <w:t xml:space="preserve">омбинированная</w:t>
            </w:r>
            <w:r>
              <w:rPr>
                <w:shd w:val="clear" w:color="auto" w:fill="ffffff"/>
              </w:rPr>
              <w:t xml:space="preserve">, з</w:t>
            </w:r>
            <w:r>
              <w:rPr>
                <w:shd w:val="clear" w:color="auto" w:fill="ffffff"/>
              </w:rPr>
              <w:t xml:space="preserve">акрытая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7.9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7.10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массив древесины ценных пород (твердолиственных и тропических);</w:t>
            </w:r>
            <w:r/>
          </w:p>
          <w:p>
            <w:pPr>
              <w:pStyle w:val="634"/>
            </w:pPr>
            <w:r>
              <w:t xml:space="preserve">возможные значения: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кожа натуральная;</w:t>
            </w:r>
            <w:r/>
          </w:p>
          <w:p>
            <w:pPr>
              <w:pStyle w:val="634"/>
            </w:pPr>
            <w:r>
              <w:t xml:space="preserve"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8.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легкового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электроподогрев передних и задних сидений; климат-контроль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63 часов в месяц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9.1.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и задних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шторки безопасности;</w:t>
            </w:r>
            <w:r/>
          </w:p>
          <w:p>
            <w:pPr>
              <w:pStyle w:val="634"/>
            </w:pPr>
            <w:r>
              <w:t xml:space="preserve">конструкция передних сидений, снижающая вероятность травмы шеи;</w:t>
            </w:r>
            <w:r/>
          </w:p>
          <w:p>
            <w:pPr>
              <w:pStyle w:val="634"/>
            </w:pPr>
            <w:r>
              <w:t xml:space="preserve">климат-контроль, 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105 часов в месяц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77.11.10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2.</w:t>
            </w:r>
            <w:r>
              <w:t xml:space="preserve">10.1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77.11.10.000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и задних сидений; 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навигационная система на русском языке;</w:t>
            </w:r>
            <w:r/>
          </w:p>
          <w:p>
            <w:pPr>
              <w:pStyle w:val="634"/>
            </w:pPr>
            <w:r>
              <w:t xml:space="preserve">коммуникационная 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 для первого ряда сидений;</w:t>
            </w:r>
            <w:r/>
          </w:p>
          <w:p>
            <w:pPr>
              <w:pStyle w:val="634"/>
            </w:pPr>
            <w:r>
              <w:t xml:space="preserve">боковые подушки безопасности для второго ряда сидений;</w:t>
            </w:r>
            <w:r/>
          </w:p>
          <w:p>
            <w:pPr>
              <w:pStyle w:val="634"/>
            </w:pPr>
            <w:r>
              <w:t xml:space="preserve">шторки безопасности;</w:t>
            </w:r>
            <w:r/>
          </w:p>
          <w:p>
            <w:pPr>
              <w:pStyle w:val="634"/>
            </w:pPr>
            <w:r>
              <w:t xml:space="preserve">конструкция передних сидений, снижающая вероятность травмы шеи;</w:t>
            </w:r>
            <w:r/>
          </w:p>
          <w:p>
            <w:pPr>
              <w:pStyle w:val="634"/>
            </w:pPr>
            <w:r>
              <w:t xml:space="preserve">климат-контроль, круиз-контроль,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3. </w:t>
            </w:r>
            <w:r>
              <w:rPr>
                <w:b/>
              </w:rPr>
              <w:t xml:space="preserve">Руководитель (заместитель руководителя) структурного подразделения органа государственной власти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  <w:t xml:space="preserve">, государственного органа </w:t>
            </w:r>
            <w:r>
              <w:rPr>
                <w:b/>
              </w:rPr>
              <w:t xml:space="preserve">Новосибирской области </w:t>
            </w:r>
            <w:r>
              <w:rPr>
                <w:b/>
              </w:rPr>
              <w:t xml:space="preserve">(должность</w:t>
            </w:r>
            <w:r>
              <w:rPr>
                <w:b/>
              </w:rPr>
              <w:t xml:space="preserve"> относящаяся к ведущей группе должностей категории «руководители»)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26.30.11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Аппаратура коммуникационная передающая с приемными устройствами</w:t>
            </w:r>
            <w:r/>
          </w:p>
          <w:p>
            <w:pPr>
              <w:pStyle w:val="634"/>
            </w:pPr>
            <w:r>
              <w:t xml:space="preserve">Пояснения по требуемой продукции: телефоны мобильные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3.1.1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26.30.11.120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связи, выполняющие функцию цифровых транспортных систем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устройства (телефон/смартфон)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смартфон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поддерживаемые стандарты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</w:t>
            </w:r>
            <w:r>
              <w:rPr>
                <w:lang w:val="en-US"/>
              </w:rPr>
              <w:t xml:space="preserve">Wi</w:t>
            </w:r>
            <w:r>
              <w:t xml:space="preserve">-</w:t>
            </w:r>
            <w:r>
              <w:rPr>
                <w:lang w:val="en-US"/>
              </w:rPr>
              <w:t xml:space="preserve">Fi</w:t>
            </w:r>
            <w:r>
              <w:t xml:space="preserve">, </w:t>
            </w:r>
            <w:r>
              <w:rPr>
                <w:lang w:val="en-US"/>
              </w:rPr>
              <w:t xml:space="preserve">Bluetooth</w:t>
            </w:r>
            <w:r>
              <w:t xml:space="preserve">, </w:t>
            </w:r>
            <w:r>
              <w:rPr>
                <w:lang w:val="en-US"/>
              </w:rPr>
              <w:t xml:space="preserve">UMTS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+/</w:t>
            </w:r>
            <w:r>
              <w:rPr>
                <w:lang w:val="en-US"/>
              </w:rPr>
              <w:t xml:space="preserve">DC</w:t>
            </w:r>
            <w:r>
              <w:t xml:space="preserve">-</w:t>
            </w:r>
            <w:r>
              <w:rPr>
                <w:lang w:val="en-US"/>
              </w:rPr>
              <w:t xml:space="preserve">HSDPA</w:t>
            </w:r>
            <w:r>
              <w:t xml:space="preserve"> (850, 900, 1900, 2100 </w:t>
            </w:r>
            <w:r>
              <w:rPr>
                <w:lang w:val="en-US"/>
              </w:rPr>
              <w:t xml:space="preserve">MHz</w:t>
            </w:r>
            <w:r>
              <w:t xml:space="preserve">); </w:t>
            </w:r>
            <w:r>
              <w:rPr>
                <w:lang w:val="en-US"/>
              </w:rPr>
              <w:t xml:space="preserve">GSM</w:t>
            </w:r>
            <w:r>
              <w:t xml:space="preserve">/</w:t>
            </w:r>
            <w:r>
              <w:rPr>
                <w:lang w:val="en-US"/>
              </w:rPr>
              <w:t xml:space="preserve">EDGE</w:t>
            </w:r>
            <w:r>
              <w:t xml:space="preserve"> (850, 900, 1800, 1900, </w:t>
            </w:r>
            <w:r>
              <w:rPr>
                <w:lang w:val="en-US"/>
              </w:rPr>
              <w:t xml:space="preserve">MHz</w:t>
            </w:r>
            <w:r>
              <w:t xml:space="preserve">), ГЛОНАСС, </w:t>
            </w:r>
            <w:r>
              <w:rPr>
                <w:lang w:val="en-US"/>
              </w:rPr>
              <w:t xml:space="preserve">GPRS</w:t>
            </w:r>
            <w:r>
              <w:t xml:space="preserve"> (</w:t>
            </w:r>
            <w:r>
              <w:rPr>
                <w:lang w:val="en-US"/>
              </w:rPr>
              <w:t xml:space="preserve">A</w:t>
            </w:r>
            <w:r>
              <w:t xml:space="preserve">-</w:t>
            </w:r>
            <w:r>
              <w:rPr>
                <w:lang w:val="en-US"/>
              </w:rPr>
              <w:t xml:space="preserve">GPS</w:t>
            </w:r>
            <w:r>
              <w:t xml:space="preserve">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операционная система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356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час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работы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менее 10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метод управления (сенсорный/кнопочный)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сенсорный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количество SIM-карт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 модулей и интерфейсов (Wi-Fi, Bluetooth, USB, GPS)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</w:t>
            </w:r>
            <w:r>
              <w:t xml:space="preserve"> </w:t>
            </w:r>
            <w:r>
              <w:t xml:space="preserve">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10 тыс.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2.1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1,5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1,5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29.10.22 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3.1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 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 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</w:t>
            </w:r>
            <w:r>
              <w:t xml:space="preserve">5</w:t>
            </w:r>
            <w:r>
              <w:t xml:space="preserve"> мл</w:t>
            </w:r>
            <w:r>
              <w:t xml:space="preserve">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</w:t>
            </w:r>
            <w:r>
              <w:t xml:space="preserve">5</w:t>
            </w:r>
            <w:r>
              <w:t xml:space="preserve"> мл</w:t>
            </w:r>
            <w:r>
              <w:t xml:space="preserve">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4.1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29.10.23.000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</w:t>
            </w:r>
            <w:r>
              <w:t xml:space="preserve">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</w:t>
            </w:r>
            <w:r>
              <w:t xml:space="preserve">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29.10.24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5.1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29.10.24.000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</w:t>
            </w:r>
            <w:r>
              <w:t xml:space="preserve"> млн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1,5</w:t>
            </w:r>
            <w:r>
              <w:t xml:space="preserve">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металлическая для офисов.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 тип дверей шкафа, 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распашные; сборно-разборная, сварная (неразборная)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</w:t>
            </w:r>
            <w:r>
              <w:rPr>
                <w:shd w:val="clear" w:color="auto" w:fill="ffffff"/>
              </w:rPr>
              <w:t xml:space="preserve">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раздвижные (купе), распашные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</w:t>
            </w:r>
            <w:r>
              <w:t xml:space="preserve">борно-разборная, </w:t>
            </w:r>
            <w:r>
              <w:t xml:space="preserve">с</w:t>
            </w:r>
            <w:r>
              <w:t xml:space="preserve">тационарная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облицовочные материалы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6.10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7.2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7.3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</w:t>
            </w:r>
            <w:r>
              <w:t xml:space="preserve">строенный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м</w:t>
            </w:r>
            <w:r>
              <w:t xml:space="preserve">одульный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о</w:t>
            </w:r>
            <w:r>
              <w:t xml:space="preserve">тдельно стоящий (</w:t>
            </w:r>
            <w:r>
              <w:t xml:space="preserve">ц</w:t>
            </w:r>
            <w:r>
              <w:t xml:space="preserve">ельнокорпусный)</w:t>
            </w:r>
            <w:r>
              <w:t xml:space="preserve">, ч</w:t>
            </w:r>
            <w:r>
              <w:t xml:space="preserve">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7.6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закрытый , п</w:t>
            </w:r>
            <w:r>
              <w:rPr>
                <w:shd w:val="clear" w:color="auto" w:fill="ffffff"/>
              </w:rPr>
              <w:t xml:space="preserve">олуоткрытый , </w:t>
            </w: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7.8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тумбы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ткрытая, </w:t>
            </w:r>
            <w:r>
              <w:rPr>
                <w:shd w:val="clear" w:color="auto" w:fill="ffffff"/>
              </w:rPr>
              <w:t xml:space="preserve">к</w:t>
            </w:r>
            <w:r>
              <w:rPr>
                <w:shd w:val="clear" w:color="auto" w:fill="ffffff"/>
              </w:rPr>
              <w:t xml:space="preserve">омбинированная, </w:t>
            </w:r>
            <w:r>
              <w:rPr>
                <w:shd w:val="clear" w:color="auto" w:fill="ffffff"/>
              </w:rPr>
              <w:t xml:space="preserve">з</w:t>
            </w:r>
            <w:r>
              <w:rPr>
                <w:shd w:val="clear" w:color="auto" w:fill="ffffff"/>
              </w:rPr>
              <w:t xml:space="preserve">акрытая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7.9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облицовочные материалы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7.10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8.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легкового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климат-контроль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климат-контроль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9.1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77.11.10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3.</w:t>
            </w:r>
            <w:r>
              <w:t xml:space="preserve">10.1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77.11.10.000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66" w:type="dxa"/>
            <w:vAlign w:val="top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4. </w:t>
            </w:r>
            <w:r>
              <w:rPr>
                <w:b/>
              </w:rPr>
              <w:t xml:space="preserve">Заместитель руководителя государственного учреждения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26.30.11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Аппаратура коммуникационная передающая с приемными устройствами</w:t>
            </w:r>
            <w:r/>
          </w:p>
          <w:p>
            <w:pPr>
              <w:pStyle w:val="634"/>
            </w:pPr>
            <w:r>
              <w:t xml:space="preserve">Пояснения по требуемой продукции: телефоны мобильные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1.1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26.30.11.120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связи, выполняющие функцию цифровых транспортных систем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устройства (телефон/смартфон)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смартфон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поддерживаемые стандарты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</w:t>
            </w:r>
            <w:r>
              <w:rPr>
                <w:lang w:val="en-US"/>
              </w:rPr>
              <w:t xml:space="preserve">Wi</w:t>
            </w:r>
            <w:r>
              <w:t xml:space="preserve">-</w:t>
            </w:r>
            <w:r>
              <w:rPr>
                <w:lang w:val="en-US"/>
              </w:rPr>
              <w:t xml:space="preserve">Fi</w:t>
            </w:r>
            <w:r>
              <w:t xml:space="preserve">, </w:t>
            </w:r>
            <w:r>
              <w:rPr>
                <w:lang w:val="en-US"/>
              </w:rPr>
              <w:t xml:space="preserve">Bluetooth</w:t>
            </w:r>
            <w:r>
              <w:t xml:space="preserve">, </w:t>
            </w:r>
            <w:r>
              <w:rPr>
                <w:lang w:val="en-US"/>
              </w:rPr>
              <w:t xml:space="preserve">UMTS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/</w:t>
            </w:r>
            <w:r>
              <w:rPr>
                <w:lang w:val="en-US"/>
              </w:rPr>
              <w:t xml:space="preserve">HSPA</w:t>
            </w:r>
            <w:r>
              <w:t xml:space="preserve">+/</w:t>
            </w:r>
            <w:r>
              <w:rPr>
                <w:lang w:val="en-US"/>
              </w:rPr>
              <w:t xml:space="preserve">DC</w:t>
            </w:r>
            <w:r>
              <w:t xml:space="preserve">-</w:t>
            </w:r>
            <w:r>
              <w:rPr>
                <w:lang w:val="en-US"/>
              </w:rPr>
              <w:t xml:space="preserve">HSDPA</w:t>
            </w:r>
            <w:r>
              <w:t xml:space="preserve"> (850, 900, 1900, 2100 </w:t>
            </w:r>
            <w:r>
              <w:rPr>
                <w:lang w:val="en-US"/>
              </w:rPr>
              <w:t xml:space="preserve">MHz</w:t>
            </w:r>
            <w:r>
              <w:t xml:space="preserve">); </w:t>
            </w:r>
            <w:r>
              <w:rPr>
                <w:lang w:val="en-US"/>
              </w:rPr>
              <w:t xml:space="preserve">GSM</w:t>
            </w:r>
            <w:r>
              <w:t xml:space="preserve">/</w:t>
            </w:r>
            <w:r>
              <w:rPr>
                <w:lang w:val="en-US"/>
              </w:rPr>
              <w:t xml:space="preserve">EDGE</w:t>
            </w:r>
            <w:r>
              <w:t xml:space="preserve"> (850, 900, 1800, 1900, </w:t>
            </w:r>
            <w:r>
              <w:rPr>
                <w:lang w:val="en-US"/>
              </w:rPr>
              <w:t xml:space="preserve">MHz</w:t>
            </w:r>
            <w:r>
              <w:t xml:space="preserve">), ГЛОНАСС, </w:t>
            </w:r>
            <w:r>
              <w:rPr>
                <w:lang w:val="en-US"/>
              </w:rPr>
              <w:t xml:space="preserve">GPRS</w:t>
            </w:r>
            <w:r>
              <w:t xml:space="preserve"> (</w:t>
            </w:r>
            <w:r>
              <w:rPr>
                <w:lang w:val="en-US"/>
              </w:rPr>
              <w:t xml:space="preserve">A</w:t>
            </w:r>
            <w:r>
              <w:t xml:space="preserve">-</w:t>
            </w:r>
            <w:r>
              <w:rPr>
                <w:lang w:val="en-US"/>
              </w:rPr>
              <w:t xml:space="preserve">GPS</w:t>
            </w:r>
            <w:r>
              <w:t xml:space="preserve">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операционная система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356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час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работы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менее 10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метод управления (сенсорный/кнопочный)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сенсорный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количество SIM-карт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наличие модулей и интерфейсов (Wi-Fi, Bluetooth, USB, GPS)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2.1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не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</w:t>
            </w:r>
            <w:r>
              <w:t xml:space="preserve">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29.10.22 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 xml:space="preserve">3</w:t>
            </w:r>
            <w:r>
              <w:t xml:space="preserve">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4.3.1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двигателем с искровым зажиганием, с рабочим объемом цилиндров более 1500 см3,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автоматическая или вариаторная коробка передач;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 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4.1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29.10.23.000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полудизелем), новые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29.10.24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5.1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29.10.24.000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предпусковой подогреватель;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кондиционер;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металлическая для офисов.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офисные металлические</w:t>
            </w:r>
            <w:r/>
          </w:p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 тип дверей шкафа, 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распашные; сборно-разборная, сварная (неразборная)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р</w:t>
            </w:r>
            <w:r>
              <w:rPr>
                <w:rStyle w:val="653"/>
                <w:color w:val="000000"/>
              </w:rPr>
              <w:t xml:space="preserve">аздвижные (купе), </w:t>
            </w:r>
            <w:r>
              <w:rPr>
                <w:rStyle w:val="653"/>
                <w:color w:val="000000"/>
              </w:rPr>
              <w:t xml:space="preserve">р</w:t>
            </w:r>
            <w:r>
              <w:rPr>
                <w:rStyle w:val="653"/>
                <w:color w:val="000000"/>
              </w:rPr>
              <w:t xml:space="preserve">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</w:t>
            </w:r>
            <w:r>
              <w:t xml:space="preserve">борно-разборная, </w:t>
            </w:r>
            <w:r>
              <w:t xml:space="preserve">с</w:t>
            </w:r>
            <w:r>
              <w:t xml:space="preserve">тационарная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6.10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4.7.1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7.3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</w:t>
            </w:r>
            <w:r>
              <w:t xml:space="preserve">строенный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м</w:t>
            </w:r>
            <w:r>
              <w:t xml:space="preserve">одульный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о</w:t>
            </w:r>
            <w:r>
              <w:t xml:space="preserve">тдельно стоящий (</w:t>
            </w:r>
            <w:r>
              <w:t xml:space="preserve">ц</w:t>
            </w:r>
            <w:r>
              <w:t xml:space="preserve">ельнокорпусный)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Частично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7.6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</w:t>
            </w:r>
            <w:r>
              <w:rPr>
                <w:shd w:val="clear" w:color="auto" w:fill="ffffff"/>
              </w:rPr>
              <w:t xml:space="preserve">акрытый , </w:t>
            </w:r>
            <w:r>
              <w:rPr>
                <w:shd w:val="clear" w:color="auto" w:fill="ffffff"/>
              </w:rPr>
              <w:t xml:space="preserve">п</w:t>
            </w:r>
            <w:r>
              <w:rPr>
                <w:shd w:val="clear" w:color="auto" w:fill="ffffff"/>
              </w:rPr>
              <w:t xml:space="preserve">олуоткрытый , </w:t>
            </w: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7.8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тумбы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ткрытая, </w:t>
            </w:r>
            <w:r>
              <w:rPr>
                <w:shd w:val="clear" w:color="auto" w:fill="ffffff"/>
              </w:rPr>
              <w:t xml:space="preserve">к</w:t>
            </w:r>
            <w:r>
              <w:rPr>
                <w:shd w:val="clear" w:color="auto" w:fill="ffffff"/>
              </w:rPr>
              <w:t xml:space="preserve">омбинированная</w:t>
            </w:r>
            <w:r>
              <w:rPr>
                <w:shd w:val="clear" w:color="auto" w:fill="ffffff"/>
              </w:rPr>
              <w:t xml:space="preserve">, з</w:t>
            </w:r>
            <w:r>
              <w:rPr>
                <w:shd w:val="clear" w:color="auto" w:fill="ffffff"/>
              </w:rPr>
              <w:t xml:space="preserve">акрытая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7.9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7.10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8.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легкового такси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климат-контроль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время предоставления автомобиля потребителю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49.32.12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9.1.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49.32.12.000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легковых автомобилей с водителем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77.11.10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4.</w:t>
            </w:r>
            <w:r>
              <w:t xml:space="preserve">10.1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77.11.10.000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аренде и лизингу легковых автомобилей и легких автотранспортных средств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150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коробки передач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 автоматическая или вариативная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 автомобиля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электроподогрев передних сидений,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 или гидроусилитель рулевого управления;</w:t>
            </w:r>
            <w:r/>
          </w:p>
          <w:p>
            <w:pPr>
              <w:pStyle w:val="634"/>
            </w:pPr>
            <w:r>
              <w:t xml:space="preserve">электростеклоподъемники всех дверей;</w:t>
            </w:r>
            <w:r/>
          </w:p>
          <w:p>
            <w:pPr>
              <w:pStyle w:val="634"/>
            </w:pPr>
            <w:r>
              <w:t xml:space="preserve">фронтальные и боковые подушки безопасности;</w:t>
            </w:r>
            <w:r/>
          </w:p>
          <w:p>
            <w:pPr>
              <w:pStyle w:val="634"/>
            </w:pPr>
            <w:r>
              <w:t xml:space="preserve">климат-контроль,</w:t>
            </w:r>
            <w:r/>
          </w:p>
          <w:p>
            <w:pPr>
              <w:pStyle w:val="634"/>
            </w:pPr>
            <w:r>
              <w:t xml:space="preserve">круиз-контроль;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66" w:type="dxa"/>
            <w:vAlign w:val="top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5. </w:t>
            </w:r>
            <w:r>
              <w:rPr>
                <w:b/>
              </w:rPr>
              <w:t xml:space="preserve">Должности категории «специалисты» органа государственной власти</w:t>
            </w:r>
            <w:r>
              <w:rPr>
                <w:b/>
              </w:rPr>
              <w:t xml:space="preserve"> Новосибирской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</w:t>
            </w:r>
            <w:r>
              <w:t xml:space="preserve">ель металлическая для офисов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.2.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>
              <w:t xml:space="preserve">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 тип дверей шкафа, 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распашные; сборно-разборная.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р</w:t>
            </w:r>
            <w:r>
              <w:rPr>
                <w:rStyle w:val="653"/>
                <w:color w:val="000000"/>
              </w:rPr>
              <w:t xml:space="preserve">аздвижные (купе), </w:t>
            </w:r>
            <w:r>
              <w:rPr>
                <w:rStyle w:val="653"/>
                <w:color w:val="000000"/>
              </w:rPr>
              <w:t xml:space="preserve">р</w:t>
            </w:r>
            <w:r>
              <w:rPr>
                <w:rStyle w:val="653"/>
                <w:color w:val="000000"/>
              </w:rPr>
              <w:t xml:space="preserve">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сборно-разборная, с</w:t>
            </w:r>
            <w:r>
              <w:t xml:space="preserve">тационарная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облицовочные материалы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т</w:t>
            </w:r>
            <w:r>
              <w:t xml:space="preserve"> </w:t>
            </w:r>
            <w:r>
              <w:t xml:space="preserve">кань;</w:t>
            </w:r>
            <w:r/>
          </w:p>
          <w:p>
            <w:pPr>
              <w:pStyle w:val="634"/>
            </w:pPr>
            <w:r>
              <w:t xml:space="preserve">возможные значения: нетканые материалы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ткань;</w:t>
            </w:r>
            <w:r/>
          </w:p>
          <w:p>
            <w:pPr>
              <w:pStyle w:val="634"/>
            </w:pPr>
            <w:r>
              <w:t xml:space="preserve">возможные значения: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</w:t>
            </w:r>
            <w:r>
              <w:t xml:space="preserve">1</w:t>
            </w:r>
            <w:r>
              <w:t xml:space="preserve">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.</w:t>
            </w:r>
            <w:r>
              <w:t xml:space="preserve">2.1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.2.</w:t>
            </w:r>
            <w: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3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</w:t>
            </w:r>
            <w:r>
              <w:t xml:space="preserve">строенный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модульный,</w:t>
            </w:r>
            <w:r/>
          </w:p>
          <w:p>
            <w:pPr>
              <w:pStyle w:val="634"/>
            </w:pPr>
            <w:r>
              <w:t xml:space="preserve">о</w:t>
            </w:r>
            <w:r>
              <w:t xml:space="preserve">тдельно стоящий (</w:t>
            </w:r>
            <w:r>
              <w:t xml:space="preserve">ц</w:t>
            </w:r>
            <w:r>
              <w:t xml:space="preserve">ельнокорпусный)</w:t>
            </w:r>
            <w:r>
              <w:t xml:space="preserve">, ч</w:t>
            </w:r>
            <w:r>
              <w:t xml:space="preserve">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6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</w:t>
            </w:r>
            <w:r>
              <w:rPr>
                <w:shd w:val="clear" w:color="auto" w:fill="ffffff"/>
              </w:rPr>
              <w:t xml:space="preserve">акрытый , </w:t>
            </w:r>
            <w:r>
              <w:rPr>
                <w:shd w:val="clear" w:color="auto" w:fill="ffffff"/>
              </w:rPr>
              <w:t xml:space="preserve">п</w:t>
            </w:r>
            <w:r>
              <w:rPr>
                <w:shd w:val="clear" w:color="auto" w:fill="ffffff"/>
              </w:rPr>
              <w:t xml:space="preserve">олуоткрытый , </w:t>
            </w: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7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8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тумбы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ткрытая, </w:t>
            </w:r>
            <w:r>
              <w:rPr>
                <w:shd w:val="clear" w:color="auto" w:fill="ffffff"/>
              </w:rPr>
              <w:t xml:space="preserve">к</w:t>
            </w:r>
            <w:r>
              <w:rPr>
                <w:shd w:val="clear" w:color="auto" w:fill="ffffff"/>
              </w:rPr>
              <w:t xml:space="preserve">омбинированная, </w:t>
            </w:r>
            <w:r>
              <w:rPr>
                <w:shd w:val="clear" w:color="auto" w:fill="ffffff"/>
              </w:rPr>
              <w:t xml:space="preserve">з</w:t>
            </w:r>
            <w:r>
              <w:rPr>
                <w:shd w:val="clear" w:color="auto" w:fill="ffffff"/>
              </w:rPr>
              <w:t xml:space="preserve">акрытая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</w:t>
            </w:r>
            <w:r>
              <w:t xml:space="preserve">9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облицовочные материалы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ткань;</w:t>
            </w:r>
            <w:r/>
          </w:p>
          <w:p>
            <w:pPr>
              <w:pStyle w:val="634"/>
            </w:pPr>
            <w:r>
              <w:t xml:space="preserve">возможное значение</w:t>
            </w:r>
            <w:r>
              <w:t xml:space="preserve"> - </w:t>
            </w:r>
            <w:r>
              <w:t xml:space="preserve">нетканые материалы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 - </w:t>
            </w:r>
            <w:r>
              <w:t xml:space="preserve">ткань;</w:t>
            </w:r>
            <w:r/>
          </w:p>
          <w:p>
            <w:pPr>
              <w:pStyle w:val="634"/>
            </w:pPr>
            <w:r>
              <w:t xml:space="preserve">возможное значение</w:t>
            </w:r>
            <w:r>
              <w:t xml:space="preserve"> - </w:t>
            </w:r>
            <w:r>
              <w:t xml:space="preserve">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5.2.1</w:t>
            </w:r>
            <w:r>
              <w:t xml:space="preserve">0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: </w:t>
            </w:r>
            <w:r>
              <w:t xml:space="preserve">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</w:t>
            </w:r>
            <w:r>
              <w:t xml:space="preserve">: </w:t>
            </w:r>
            <w:r>
              <w:t xml:space="preserve">ткань;</w:t>
            </w:r>
            <w:r/>
          </w:p>
          <w:p>
            <w:pPr>
              <w:pStyle w:val="634"/>
            </w:pPr>
            <w:r>
              <w:t xml:space="preserve">возможное значение</w:t>
            </w:r>
            <w:r>
              <w:t xml:space="preserve">:</w:t>
            </w:r>
            <w:r>
              <w:t xml:space="preserve">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6. </w:t>
            </w:r>
            <w:r>
              <w:rPr>
                <w:b/>
              </w:rPr>
              <w:t xml:space="preserve">Руководитель или заместитель руководителя структурного подразделения государственного учреждения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</w:t>
            </w:r>
            <w:r>
              <w:t xml:space="preserve">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металлическая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офисные металлические</w:t>
            </w:r>
            <w:r/>
          </w:p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</w:t>
            </w:r>
            <w:r>
              <w:t xml:space="preserve">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 тип дверей шкафа</w:t>
            </w:r>
            <w:r>
              <w:t xml:space="preserve">, </w:t>
            </w:r>
            <w:r>
              <w:t xml:space="preserve">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распашные; сборно-разборная, сварная (неразборная)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р</w:t>
            </w:r>
            <w:r>
              <w:rPr>
                <w:rStyle w:val="653"/>
                <w:color w:val="000000"/>
              </w:rPr>
              <w:t xml:space="preserve">аздвижные (купе),</w:t>
            </w:r>
            <w:r>
              <w:rPr>
                <w:rStyle w:val="653"/>
                <w:color w:val="000000"/>
              </w:rPr>
              <w:t xml:space="preserve"> р</w:t>
            </w:r>
            <w:r>
              <w:rPr>
                <w:rStyle w:val="653"/>
                <w:color w:val="000000"/>
              </w:rPr>
              <w:t xml:space="preserve">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сборно-разборная, с</w:t>
            </w:r>
            <w:r>
              <w:t xml:space="preserve">тационарная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1</w:t>
            </w:r>
            <w:r>
              <w:t xml:space="preserve">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2</w:t>
            </w:r>
            <w:r>
              <w:t xml:space="preserve">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2</w:t>
            </w:r>
            <w:r>
              <w:t xml:space="preserve">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2</w:t>
            </w:r>
            <w:r>
              <w:t xml:space="preserve">.3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</w:t>
            </w:r>
            <w:r>
              <w:t xml:space="preserve">строенный</w:t>
            </w:r>
            <w:r>
              <w:t xml:space="preserve">,</w:t>
            </w:r>
            <w:r/>
          </w:p>
          <w:p>
            <w:pPr>
              <w:pStyle w:val="634"/>
            </w:pPr>
            <w:r>
              <w:t xml:space="preserve">м</w:t>
            </w:r>
            <w:r>
              <w:t xml:space="preserve">одульный  </w:t>
            </w:r>
            <w:r/>
          </w:p>
          <w:p>
            <w:pPr>
              <w:pStyle w:val="634"/>
            </w:pPr>
            <w:r>
              <w:t xml:space="preserve">о</w:t>
            </w:r>
            <w:r>
              <w:t xml:space="preserve">тдельно стоящий (</w:t>
            </w:r>
            <w:r>
              <w:t xml:space="preserve">ц</w:t>
            </w:r>
            <w:r>
              <w:t xml:space="preserve">ельнокорпусный)</w:t>
            </w:r>
            <w:r>
              <w:t xml:space="preserve">, ч</w:t>
            </w:r>
            <w:r>
              <w:t xml:space="preserve">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2</w:t>
            </w:r>
            <w:r>
              <w:t xml:space="preserve">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2</w:t>
            </w:r>
            <w:r>
              <w:t xml:space="preserve">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7.6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</w:t>
            </w:r>
            <w:r>
              <w:rPr>
                <w:shd w:val="clear" w:color="auto" w:fill="ffffff"/>
              </w:rPr>
              <w:t xml:space="preserve">акрытый , </w:t>
            </w:r>
            <w:r>
              <w:rPr>
                <w:shd w:val="clear" w:color="auto" w:fill="ffffff"/>
              </w:rPr>
              <w:t xml:space="preserve">п</w:t>
            </w:r>
            <w:r>
              <w:rPr>
                <w:shd w:val="clear" w:color="auto" w:fill="ffffff"/>
              </w:rPr>
              <w:t xml:space="preserve">олуоткрытый , </w:t>
            </w: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7.7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7.8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</w:t>
            </w:r>
            <w:r>
              <w:t xml:space="preserve">ип тумбы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о</w:t>
            </w:r>
            <w:r>
              <w:rPr>
                <w:shd w:val="clear" w:color="auto" w:fill="ffffff"/>
              </w:rPr>
              <w:t xml:space="preserve">ткрытая, </w:t>
            </w:r>
            <w:r>
              <w:rPr>
                <w:shd w:val="clear" w:color="auto" w:fill="ffffff"/>
              </w:rPr>
              <w:t xml:space="preserve">к</w:t>
            </w:r>
            <w:r>
              <w:rPr>
                <w:shd w:val="clear" w:color="auto" w:fill="ffffff"/>
              </w:rPr>
              <w:t xml:space="preserve">омбинированная</w:t>
            </w:r>
            <w:r>
              <w:rPr>
                <w:shd w:val="clear" w:color="auto" w:fill="ffffff"/>
              </w:rPr>
              <w:t xml:space="preserve">, з</w:t>
            </w:r>
            <w:r>
              <w:rPr>
                <w:shd w:val="clear" w:color="auto" w:fill="ffffff"/>
              </w:rPr>
              <w:t xml:space="preserve">акрытая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7.9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искусственная кожа;</w:t>
            </w:r>
            <w:r/>
          </w:p>
          <w:p>
            <w:pPr>
              <w:pStyle w:val="634"/>
            </w:pPr>
            <w:r>
              <w:t xml:space="preserve">возможные значения: мебельный (искусственный) мех, искусственная замша (микрофибра), ткань,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6.</w:t>
            </w:r>
            <w:r>
              <w:t xml:space="preserve">7.10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7. </w:t>
            </w:r>
            <w:r>
              <w:rPr>
                <w:b/>
              </w:rPr>
              <w:t xml:space="preserve">Работники государственного учреждения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металлическая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</w:t>
            </w:r>
            <w:r>
              <w:t xml:space="preserve">.1.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офисные металлические</w:t>
            </w:r>
            <w:r/>
          </w:p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металлические</w:t>
            </w:r>
            <w:r/>
          </w:p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shd w:val="clear" w:color="auto" w:fill="ffffff"/>
            </w:pPr>
            <w:r>
              <w:t xml:space="preserve">материал (металл), тип дверей шкафа, 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раздвижные (купе), распашные; сборно-разборная, сварная (неразборная)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тип дверей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rStyle w:val="653"/>
                <w:color w:val="000000"/>
              </w:rPr>
              <w:t xml:space="preserve">раздвижные (купе), распашные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конструкции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сборно-разборная, стационарная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31.01.11.129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металлические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металлические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31.01.11.150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металлическим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(металл), 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ткань;</w:t>
            </w:r>
            <w:r/>
          </w:p>
          <w:p>
            <w:pPr>
              <w:pStyle w:val="634"/>
            </w:pPr>
            <w:r>
              <w:t xml:space="preserve">возможные значения</w:t>
            </w:r>
            <w:r>
              <w:t xml:space="preserve"> - </w:t>
            </w:r>
            <w:r>
              <w:t xml:space="preserve">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7.1.10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31.01.11.190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металлическая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(металл)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</w:t>
            </w:r>
            <w:r>
              <w:t xml:space="preserve">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деревянная для офисов 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</w:t>
            </w:r>
            <w:r>
              <w:t xml:space="preserve">.</w:t>
            </w:r>
            <w:r>
              <w:t xml:space="preserve">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31.01.12.110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Столы письменные деревянные для офисов, административных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</w:t>
            </w:r>
            <w:r>
              <w:t xml:space="preserve">.2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7.2.3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31.01.12.131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для одежды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шкафа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встроенный,</w:t>
            </w:r>
            <w:r/>
          </w:p>
          <w:p>
            <w:pPr>
              <w:pStyle w:val="634"/>
            </w:pPr>
            <w:r>
              <w:t xml:space="preserve">модульный  </w:t>
            </w:r>
            <w:r/>
          </w:p>
          <w:p>
            <w:pPr>
              <w:pStyle w:val="634"/>
            </w:pPr>
            <w:r>
              <w:t xml:space="preserve">отдельно стоящий (цельнокорпусный), частично встроенный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архивные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31.01.12.133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Шкафы картотечные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7.2.6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31.01.12.139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Шкафы деревянные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фасада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закрытый, полуоткрытый , открытый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31.01.12.140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Стеллажи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7.2.8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31.01.12.150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Тумбы офисные деревянные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тип тумбы 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rPr>
                <w:shd w:val="clear" w:color="auto" w:fill="ffffff"/>
              </w:rPr>
              <w:t xml:space="preserve">открытая, комбинированная, закрытая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7.2.9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31.01.12.160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Мебель для сидения, преимущественно с деревянным каркасом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обивочные материалы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ткань;</w:t>
            </w:r>
            <w:r/>
          </w:p>
          <w:p>
            <w:pPr>
              <w:pStyle w:val="634"/>
            </w:pPr>
            <w:r>
              <w:t xml:space="preserve">возможное значение - нетканые материалы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7.2.10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31.01.12.190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Мебель офисная деревянная прочая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материал (вид древесины)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 - древесина хвойных и мягколиственных пород:</w:t>
            </w:r>
            <w:r/>
          </w:p>
          <w:p>
            <w:pPr>
              <w:pStyle w:val="634"/>
            </w:pPr>
            <w:r>
              <w:t xml:space="preserve">береза, лиственница, сосна, ель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66" w:type="dxa"/>
            <w:vAlign w:val="top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8. </w:t>
            </w:r>
            <w:r>
              <w:rPr>
                <w:b/>
              </w:rPr>
              <w:t xml:space="preserve">Средства автотранспортные для перевозки людей прочие, предоставляемые по вызову (без персонального закрепления)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29.10.24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Средства автотранспортные для перевозки людей прочие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8.</w:t>
            </w:r>
            <w:r>
              <w:t xml:space="preserve">1.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29.10.24.000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Предоставляемые по вызову (без персонального закрепления) (применяется в отношении работников органа государственной власти)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200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1,</w:t>
            </w:r>
            <w:r>
              <w:t xml:space="preserve">5</w:t>
            </w:r>
            <w:r>
              <w:t xml:space="preserve"> млн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8</w:t>
            </w:r>
            <w:r>
              <w:t xml:space="preserve">.</w:t>
            </w:r>
            <w:r>
              <w:t xml:space="preserve">2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29.10.24.000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Предоставляемые по вызову (без персонального закрепления) (применяется в отношении работников государственного учреждения, не являющихся руководителями государственного учреждения и заместителями руководителя государственного учреждения)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251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лошадиная сила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мощность двигателя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</w:t>
            </w: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комплектация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предельное значение:</w:t>
            </w:r>
            <w:r/>
          </w:p>
          <w:p>
            <w:pPr>
              <w:pStyle w:val="634"/>
            </w:pPr>
            <w:r>
              <w:t xml:space="preserve">механическая коробка передач;</w:t>
            </w:r>
            <w:r/>
          </w:p>
          <w:p>
            <w:pPr>
              <w:pStyle w:val="634"/>
            </w:pPr>
            <w:r>
              <w:t xml:space="preserve">бортовой компьютер;</w:t>
            </w:r>
            <w:r/>
          </w:p>
          <w:p>
            <w:pPr>
              <w:pStyle w:val="634"/>
            </w:pPr>
            <w:r>
              <w:t xml:space="preserve">электроподогрев передних сидений;</w:t>
            </w:r>
            <w:r/>
          </w:p>
          <w:p>
            <w:pPr>
              <w:pStyle w:val="634"/>
            </w:pPr>
            <w:r>
              <w:t xml:space="preserve">электрорегулировка боковых зеркал с функцией подогрева;</w:t>
            </w:r>
            <w:r/>
          </w:p>
          <w:p>
            <w:pPr>
              <w:pStyle w:val="634"/>
            </w:pPr>
            <w:r>
              <w:t xml:space="preserve">полноразмерное запасное колесо;</w:t>
            </w:r>
            <w:r/>
          </w:p>
          <w:p>
            <w:pPr>
              <w:pStyle w:val="634"/>
            </w:pPr>
            <w:r>
              <w:t xml:space="preserve">электроусилитель</w:t>
            </w:r>
            <w:r/>
          </w:p>
          <w:p>
            <w:pPr>
              <w:pStyle w:val="634"/>
            </w:pPr>
            <w:r>
              <w:t xml:space="preserve">или гидроусилитель рулевого управления; электростеклоподъемники;</w:t>
            </w:r>
            <w:r/>
          </w:p>
          <w:p>
            <w:pPr>
              <w:pStyle w:val="634"/>
            </w:pPr>
            <w:r>
              <w:t xml:space="preserve">аудиосистема с AUX/USB-разъемами;</w:t>
            </w:r>
            <w:r/>
          </w:p>
          <w:p>
            <w:pPr>
              <w:pStyle w:val="634"/>
            </w:pPr>
            <w:r>
              <w:t xml:space="preserve">фронтальные подушки безопасности;</w:t>
            </w:r>
            <w:r/>
          </w:p>
          <w:p>
            <w:pPr>
              <w:pStyle w:val="634"/>
            </w:pPr>
            <w:r>
              <w:t xml:space="preserve">противотуманные фары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11"/>
            <w:tcW w:w="15566" w:type="dxa"/>
            <w:vAlign w:val="center"/>
            <w:textDirection w:val="lrTb"/>
            <w:noWrap w:val="false"/>
          </w:tcPr>
          <w:p>
            <w:pPr>
              <w:pStyle w:val="634"/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9. </w:t>
            </w:r>
            <w:r>
              <w:rPr>
                <w:b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b/>
              </w:rPr>
              <w:t xml:space="preserve">министерством экономического развития</w:t>
            </w:r>
            <w:r>
              <w:rPr>
                <w:b/>
              </w:rPr>
              <w:t xml:space="preserve"> Новосибирской области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61.20.30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передаче данных по беспровод</w:t>
            </w:r>
            <w:r>
              <w:t xml:space="preserve">ным телекоммуникационным сетям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</w:t>
            </w:r>
            <w:r>
              <w:t xml:space="preserve">ип</w:t>
            </w:r>
            <w:r>
              <w:t xml:space="preserve"> услуги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t xml:space="preserve">услуга связи для ноутбуков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</w:t>
            </w:r>
            <w:r>
              <w:t xml:space="preserve"> (годовая абонентская плата)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 тыс.</w:t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</w:t>
            </w:r>
            <w:r>
              <w:t xml:space="preserve">ип</w:t>
            </w:r>
            <w:r>
              <w:t xml:space="preserve"> услуги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t xml:space="preserve">услуга связи для планшетных компьютеров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 (годовая абонентская плата)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 тыс.</w:t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9.2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61.20.42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широкополосному доступу информационно-коммуникационной сети «Интернет» по беспроводным сетям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тип услуги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t xml:space="preserve">услуга связи для ноутбуков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 (годовая абонентская плата)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 тыс.</w:t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тип услуги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t xml:space="preserve">услуга связи для планшетных компьютеров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383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рубль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 (годовая абонентская плата)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 тыс.</w:t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61.20.11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подвижной связи общего пользования - обеспечение доступа и поддержка пользователя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9.3.1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ind w:left="30" w:right="30"/>
              <w:spacing w:before="30" w:after="30"/>
              <w:shd w:val="clear" w:color="auto" w:fill="ffffff"/>
              <w:outlineLvl w:val="2"/>
            </w:pPr>
            <w:r>
              <w:rPr>
                <w:bCs/>
                <w:color w:val="000000"/>
              </w:rPr>
              <w:t xml:space="preserve">61.20.11.000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подвижной связи общего пользования - обеспечение доступа и поддержка пользователя</w:t>
            </w:r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тарификация услуги голосовой связи (лимитная/безлимитная)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тарификация услуги голосовой связи (лимитная/безлимитная)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t xml:space="preserve">лимитная/ безлимитная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тарификация доступа в информационно-телекоммуникационную сеть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 (лимитная/безлимитная)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тарификация доступа в информаци</w:t>
            </w:r>
            <w:r>
              <w:t xml:space="preserve">онно-телекоммуникационную сеть «</w:t>
            </w:r>
            <w:r>
              <w:t xml:space="preserve">Интернет</w:t>
            </w:r>
            <w:r>
              <w:t xml:space="preserve">»</w:t>
            </w:r>
            <w:r>
              <w:t xml:space="preserve"> (лимитная/безлимитная)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лимитная/ безлимитная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355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Минута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объем доступной услуги голосовой связи (минут/месяц)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объем доступной услуги голосовой связи (минут/месяц)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color w:val="000000"/>
              </w:rPr>
              <w:t xml:space="preserve">не более 2 6</w:t>
            </w:r>
            <w:r>
              <w:rPr>
                <w:color w:val="000000"/>
              </w:rPr>
              <w:t xml:space="preserve">00 /безлимитная тарификация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ind w:left="-113" w:right="-59"/>
              <w:jc w:val="center"/>
            </w:pPr>
            <w:r>
              <w:t xml:space="preserve">2553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Гбайт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объем доступа в информационно-телекоммуникационную сеть </w:t>
            </w:r>
            <w:r>
              <w:t xml:space="preserve">«</w:t>
            </w:r>
            <w:r>
              <w:t xml:space="preserve">Интернет</w:t>
            </w:r>
            <w:r>
              <w:t xml:space="preserve">» </w:t>
            </w:r>
            <w:r>
              <w:t xml:space="preserve">(Гб/месяц)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объем доступа в информаци</w:t>
            </w:r>
            <w:r>
              <w:t xml:space="preserve">онно-телекоммуникационную сеть «Интернет» </w:t>
            </w:r>
            <w:r>
              <w:t xml:space="preserve">(Гб/месяц)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ind w:left="-114" w:right="-1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 xml:space="preserve">более 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доступ услуги голосовой связи (домашний регион, территория Российской Федерации, за пределами Российской Федерации - роуминг)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доступ услуги голосовой связи (домашний регион, территория Российской Федерации, за пределами Российской Федерации - роуминг)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ind w:left="-114" w:right="-1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домашний регион, территория Российской Федерации, за пределами Российской Федерации - роуминг</w:t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доступ в информационно-телекоммуникационную сеть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 (Гб) (да/нет)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доступ в информаци</w:t>
            </w:r>
            <w:r>
              <w:t xml:space="preserve">онно-телекоммуникационную сеть «</w:t>
            </w:r>
            <w:r>
              <w:t xml:space="preserve">Интернет</w:t>
            </w:r>
            <w:r>
              <w:t xml:space="preserve">»</w:t>
            </w:r>
            <w:r>
              <w:t xml:space="preserve"> (Гб) (да/нет)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ind w:left="-114" w:right="-1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383</w:t>
            </w:r>
            <w:r>
              <w:rPr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рубль</w:t>
            </w:r>
            <w:r>
              <w:rPr>
                <w:color w:val="00000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предельная цена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предельная цена</w:t>
            </w:r>
            <w:r>
              <w:t xml:space="preserve"> </w:t>
            </w:r>
            <w:r>
              <w:t xml:space="preserve">(рублей/</w:t>
            </w:r>
            <w:r>
              <w:t xml:space="preserve">месяц)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1 400,0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</w:t>
            </w:r>
            <w: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62.03.12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управлению компьютерными системами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</w:t>
            </w:r>
            <w:r>
              <w:t xml:space="preserve">4</w:t>
            </w:r>
            <w:r>
              <w:t xml:space="preserve">.1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62.03.12.130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сопровождению компьютерных систем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642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единица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цель технического сопровождения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обеспечение бесперебойной работы и корректности функционирования информационной сист</w:t>
            </w:r>
            <w:r>
              <w:t xml:space="preserve">емы в целях соблюдения требований законодательства Российской Федерации, Новосибирской области, иных нормативных правовых актов, а также надлежащего функционирования систем; консультационное сопровождение; исправление ошибок в работе информационной системы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</w:t>
            </w:r>
            <w:r>
              <w:t xml:space="preserve">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68.20.12</w:t>
            </w:r>
            <w:r/>
          </w:p>
        </w:tc>
        <w:tc>
          <w:tcPr>
            <w:tcW w:w="1389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Услуги по сдаче в аренду (внаем) собственных или арендованных нежилых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9.</w:t>
            </w:r>
            <w:r>
              <w:t xml:space="preserve">5</w:t>
            </w:r>
            <w:r>
              <w:t xml:space="preserve">.1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68.20.12.000</w:t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</w:pPr>
            <w:r>
              <w:t xml:space="preserve">Услуги по сдаче в аренду (внаем) собственных или арендованных нежилых помещений</w:t>
            </w:r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055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квадратный метр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площадь помещений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1200 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возмещение расходов обслуживающих организаций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за счет арендодателя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4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предельная цена за кв. м.</w:t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34"/>
            </w:pPr>
            <w:r>
              <w:t xml:space="preserve">не более 1000 руб.</w:t>
            </w:r>
            <w:r/>
          </w:p>
        </w:tc>
        <w:tc>
          <w:tcPr>
            <w:tcW w:w="1587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  <w:tc>
          <w:tcPr>
            <w:tcW w:w="1079" w:type="dxa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х</w:t>
            </w:r>
            <w:r/>
          </w:p>
        </w:tc>
      </w:tr>
    </w:tbl>
    <w:p>
      <w:pPr>
        <w:pStyle w:val="63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1418" w:right="1134" w:bottom="567" w:left="1134" w:header="567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rFonts w:ascii="Times New Roman" w:hAnsi="Times New Roman" w:cs="Times New Roman"/>
      <w:lang w:val="ru-RU" w:eastAsia="ru-RU" w:bidi="ar-SA"/>
    </w:rPr>
  </w:style>
  <w:style w:type="character" w:styleId="635">
    <w:name w:val="Основной шрифт абзаца"/>
    <w:next w:val="635"/>
    <w:link w:val="634"/>
    <w:uiPriority w:val="99"/>
  </w:style>
  <w:style w:type="table" w:styleId="636">
    <w:name w:val="Обычная таблица"/>
    <w:next w:val="636"/>
    <w:link w:val="634"/>
    <w:uiPriority w:val="99"/>
    <w:semiHidden/>
    <w:unhideWhenUsed/>
    <w:tblPr/>
  </w:style>
  <w:style w:type="numbering" w:styleId="637">
    <w:name w:val="Нет списка"/>
    <w:next w:val="637"/>
    <w:link w:val="634"/>
    <w:uiPriority w:val="99"/>
    <w:semiHidden/>
    <w:unhideWhenUsed/>
  </w:style>
  <w:style w:type="paragraph" w:styleId="638">
    <w:name w:val="Верхний колонтитул"/>
    <w:basedOn w:val="634"/>
    <w:next w:val="638"/>
    <w:link w:val="639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39">
    <w:name w:val="Верхний колонтитул Знак"/>
    <w:next w:val="639"/>
    <w:link w:val="638"/>
    <w:uiPriority w:val="99"/>
    <w:rPr>
      <w:rFonts w:ascii="Times New Roman" w:hAnsi="Times New Roman" w:cs="Times New Roman"/>
      <w:sz w:val="20"/>
    </w:rPr>
  </w:style>
  <w:style w:type="paragraph" w:styleId="640">
    <w:name w:val="Нижний колонтитул"/>
    <w:basedOn w:val="634"/>
    <w:next w:val="640"/>
    <w:link w:val="641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41">
    <w:name w:val="Нижний колонтитул Знак"/>
    <w:next w:val="641"/>
    <w:link w:val="640"/>
    <w:uiPriority w:val="99"/>
    <w:semiHidden/>
    <w:rPr>
      <w:rFonts w:ascii="Times New Roman" w:hAnsi="Times New Roman" w:cs="Times New Roman"/>
      <w:sz w:val="20"/>
    </w:rPr>
  </w:style>
  <w:style w:type="paragraph" w:styleId="642">
    <w:name w:val="Текст сноски"/>
    <w:basedOn w:val="634"/>
    <w:next w:val="642"/>
    <w:link w:val="643"/>
    <w:uiPriority w:val="99"/>
    <w:rPr>
      <w:lang w:val="en-US" w:eastAsia="en-US"/>
    </w:rPr>
  </w:style>
  <w:style w:type="character" w:styleId="643">
    <w:name w:val="Текст сноски Знак"/>
    <w:next w:val="643"/>
    <w:link w:val="642"/>
    <w:uiPriority w:val="99"/>
    <w:rPr>
      <w:rFonts w:ascii="Times New Roman" w:hAnsi="Times New Roman" w:cs="Times New Roman"/>
      <w:sz w:val="20"/>
    </w:rPr>
  </w:style>
  <w:style w:type="character" w:styleId="644">
    <w:name w:val="Знак сноски"/>
    <w:next w:val="644"/>
    <w:link w:val="634"/>
    <w:uiPriority w:val="99"/>
    <w:rPr>
      <w:rFonts w:cs="Times New Roman"/>
      <w:vertAlign w:val="superscript"/>
    </w:rPr>
  </w:style>
  <w:style w:type="paragraph" w:styleId="645">
    <w:name w:val="Без интервала"/>
    <w:next w:val="645"/>
    <w:link w:val="634"/>
    <w:uiPriority w:val="1"/>
    <w:qFormat/>
    <w:rPr>
      <w:rFonts w:ascii="Times New Roman" w:hAnsi="Times New Roman" w:cs="Times New Roman"/>
      <w:lang w:val="ru-RU" w:eastAsia="ru-RU" w:bidi="ar-SA"/>
    </w:rPr>
  </w:style>
  <w:style w:type="paragraph" w:styleId="646">
    <w:name w:val="Текст выноски"/>
    <w:basedOn w:val="634"/>
    <w:next w:val="646"/>
    <w:link w:val="647"/>
    <w:uiPriority w:val="99"/>
    <w:semiHidden/>
    <w:unhideWhenUsed/>
    <w:rPr>
      <w:rFonts w:ascii="Tahoma" w:hAnsi="Tahoma"/>
      <w:sz w:val="16"/>
      <w:lang w:val="en-US" w:eastAsia="en-US"/>
    </w:rPr>
  </w:style>
  <w:style w:type="character" w:styleId="647">
    <w:name w:val="Текст выноски Знак"/>
    <w:next w:val="647"/>
    <w:link w:val="646"/>
    <w:uiPriority w:val="99"/>
    <w:semiHidden/>
    <w:rPr>
      <w:rFonts w:ascii="Tahoma" w:hAnsi="Tahoma" w:cs="Times New Roman"/>
      <w:sz w:val="16"/>
    </w:rPr>
  </w:style>
  <w:style w:type="character" w:styleId="648">
    <w:name w:val="Знак примечания"/>
    <w:next w:val="648"/>
    <w:link w:val="634"/>
    <w:uiPriority w:val="99"/>
    <w:rPr>
      <w:sz w:val="16"/>
      <w:szCs w:val="16"/>
    </w:rPr>
  </w:style>
  <w:style w:type="paragraph" w:styleId="649">
    <w:name w:val="Текст примечания"/>
    <w:basedOn w:val="634"/>
    <w:next w:val="649"/>
    <w:link w:val="650"/>
    <w:uiPriority w:val="99"/>
    <w:rPr>
      <w:lang w:val="en-US" w:eastAsia="en-US"/>
    </w:rPr>
  </w:style>
  <w:style w:type="character" w:styleId="650">
    <w:name w:val="Текст примечания Знак"/>
    <w:next w:val="650"/>
    <w:link w:val="649"/>
    <w:uiPriority w:val="99"/>
    <w:rPr>
      <w:rFonts w:ascii="Times New Roman" w:hAnsi="Times New Roman" w:cs="Times New Roman"/>
    </w:rPr>
  </w:style>
  <w:style w:type="paragraph" w:styleId="651">
    <w:name w:val="Тема примечания"/>
    <w:basedOn w:val="649"/>
    <w:next w:val="649"/>
    <w:link w:val="652"/>
    <w:uiPriority w:val="99"/>
    <w:rPr>
      <w:b/>
      <w:bCs/>
    </w:rPr>
  </w:style>
  <w:style w:type="character" w:styleId="652">
    <w:name w:val="Тема примечания Знак"/>
    <w:next w:val="652"/>
    <w:link w:val="651"/>
    <w:uiPriority w:val="99"/>
    <w:rPr>
      <w:rFonts w:ascii="Times New Roman" w:hAnsi="Times New Roman" w:cs="Times New Roman"/>
      <w:b/>
      <w:bCs/>
    </w:rPr>
  </w:style>
  <w:style w:type="character" w:styleId="653">
    <w:name w:val="cardmaininfo__title2"/>
    <w:next w:val="653"/>
    <w:link w:val="634"/>
    <w:rPr>
      <w:color w:val="909ebb"/>
    </w:rPr>
  </w:style>
  <w:style w:type="character" w:styleId="654">
    <w:name w:val="lots-wrap-content__body__val2"/>
    <w:next w:val="654"/>
    <w:link w:val="634"/>
  </w:style>
  <w:style w:type="paragraph" w:styleId="655">
    <w:name w:val="Рецензия"/>
    <w:next w:val="655"/>
    <w:link w:val="634"/>
    <w:hidden/>
    <w:uiPriority w:val="99"/>
    <w:semiHidden/>
    <w:rPr>
      <w:rFonts w:ascii="Times New Roman" w:hAnsi="Times New Roman" w:cs="Times New Roman"/>
      <w:lang w:val="ru-RU" w:eastAsia="ru-RU" w:bidi="ar-SA"/>
    </w:rPr>
  </w:style>
  <w:style w:type="character" w:styleId="656">
    <w:name w:val="Гиперссылка"/>
    <w:next w:val="656"/>
    <w:link w:val="634"/>
    <w:uiPriority w:val="99"/>
    <w:unhideWhenUsed/>
    <w:rPr>
      <w:color w:val="0000ff"/>
      <w:u w:val="single"/>
    </w:rPr>
  </w:style>
  <w:style w:type="character" w:styleId="657">
    <w:name w:val="lots-wrap-content__body__val"/>
    <w:basedOn w:val="635"/>
    <w:next w:val="657"/>
    <w:link w:val="634"/>
  </w:style>
  <w:style w:type="paragraph" w:styleId="658">
    <w:name w:val="Абзац списка"/>
    <w:basedOn w:val="634"/>
    <w:next w:val="658"/>
    <w:link w:val="634"/>
    <w:uiPriority w:val="99"/>
    <w:qFormat/>
    <w:pPr>
      <w:contextualSpacing/>
      <w:ind w:left="720"/>
      <w:widowControl w:val="off"/>
    </w:pPr>
    <w:rPr>
      <w:rFonts w:ascii="Courier New" w:hAnsi="Courier New" w:eastAsia="Courier New" w:cs="Courier New"/>
      <w:color w:val="000000"/>
      <w:sz w:val="24"/>
      <w:szCs w:val="24"/>
      <w:lang w:bidi="ru-RU"/>
    </w:rPr>
  </w:style>
  <w:style w:type="character" w:styleId="44277" w:default="1">
    <w:name w:val="Default Paragraph Font"/>
    <w:uiPriority w:val="1"/>
    <w:semiHidden/>
    <w:unhideWhenUsed/>
  </w:style>
  <w:style w:type="numbering" w:styleId="44278" w:default="1">
    <w:name w:val="No List"/>
    <w:uiPriority w:val="99"/>
    <w:semiHidden/>
    <w:unhideWhenUsed/>
  </w:style>
  <w:style w:type="table" w:styleId="442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revision>69</cp:revision>
  <dcterms:created xsi:type="dcterms:W3CDTF">2022-12-27T03:44:00Z</dcterms:created>
  <dcterms:modified xsi:type="dcterms:W3CDTF">2025-05-27T02:59:13Z</dcterms:modified>
  <cp:version>1048576</cp:version>
</cp:coreProperties>
</file>