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6"/>
        <w:ind w:left="-142" w:right="-427" w:firstLine="142"/>
        <w:rPr>
          <w:szCs w:val="28"/>
          <w:lang w:val="en-US"/>
        </w:rPr>
      </w:pPr>
      <w:r>
        <w:rPr>
          <w:szCs w:val="28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52450" cy="654050"/>
            <wp:effectExtent l="0" t="0" r="0" b="0"/>
            <wp:wrapNone/>
            <wp:docPr id="1" name="_x005F_x0000_s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76" t="-993" r="-1176" b="-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6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16"/>
        <w:rPr>
          <w:b/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______________</w:t>
        <w:tab/>
        <w:tab/>
        <w:tab/>
        <w:tab/>
        <w:tab/>
        <w:t xml:space="preserve">                             </w:t>
        <w:tab/>
        <w:t xml:space="preserve">                        № 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  <w:szCs w:val="28"/>
        </w:rPr>
        <w:t>г. Новосибирск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b/>
          <w:sz w:val="28"/>
          <w:szCs w:val="28"/>
        </w:rPr>
        <w:t>Об утверждении особенностей (предмета охраны), границ территории выявленного объекта археологического наследия</w:t>
      </w:r>
      <w:r>
        <w:rPr>
          <w:rFonts w:eastAsia="Calibri"/>
          <w:b/>
          <w:sz w:val="28"/>
          <w:szCs w:val="28"/>
        </w:rPr>
        <w:t xml:space="preserve"> Одиночный курган Щелчишка-1</w:t>
      </w:r>
      <w:r>
        <w:rPr>
          <w:b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расположенного </w:t>
      </w:r>
      <w:r>
        <w:rPr>
          <w:b/>
          <w:sz w:val="28"/>
          <w:szCs w:val="28"/>
        </w:rPr>
        <w:t xml:space="preserve">на территории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Здвинского</w:t>
      </w:r>
      <w:r>
        <w:rPr>
          <w:b/>
          <w:sz w:val="28"/>
          <w:szCs w:val="28"/>
        </w:rPr>
        <w:t xml:space="preserve"> района Новосибирской области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"/>
        <w:numPr>
          <w:ilvl w:val="0"/>
          <w:numId w:val="1"/>
        </w:numPr>
        <w:spacing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keepNext w:val="true"/>
        <w:keepLines/>
        <w:tabs>
          <w:tab w:val="clear" w:pos="708"/>
          <w:tab w:val="left" w:pos="1559" w:leader="none"/>
          <w:tab w:val="left" w:pos="1701" w:leader="none"/>
        </w:tabs>
        <w:spacing w:lineRule="auto" w:line="240" w:before="0" w:after="0"/>
        <w:ind w:left="0" w:right="141" w:firstLine="56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В соответствии со статьями 3.1,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5.1,</w:t>
      </w:r>
      <w:r>
        <w:rPr>
          <w:rFonts w:cs="Times New Roman"/>
          <w:b w:val="false"/>
          <w:bCs w:val="false"/>
          <w:sz w:val="28"/>
          <w:szCs w:val="28"/>
        </w:rPr>
        <w:t xml:space="preserve"> 9.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, 33 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 государственной инспекции</w:t>
      </w:r>
      <w:r>
        <w:rPr>
          <w:rFonts w:cs="Times New Roman"/>
          <w:b w:val="false"/>
          <w:bCs w:val="false"/>
          <w:sz w:val="28"/>
          <w:szCs w:val="28"/>
        </w:rPr>
        <w:t xml:space="preserve"> по охране объектов культурного наследия Новосибирской области, утвержденного постановлением Правительства Новосибирской области от 2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9</w:t>
      </w:r>
      <w:r>
        <w:rPr>
          <w:rFonts w:cs="Times New Roman"/>
          <w:b w:val="false"/>
          <w:bCs w:val="false"/>
          <w:sz w:val="28"/>
          <w:szCs w:val="28"/>
        </w:rPr>
        <w:t>.12.201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8</w:t>
      </w:r>
      <w:r>
        <w:rPr>
          <w:rFonts w:cs="Times New Roman"/>
          <w:b w:val="false"/>
          <w:bCs w:val="false"/>
          <w:sz w:val="28"/>
          <w:szCs w:val="28"/>
        </w:rPr>
        <w:t xml:space="preserve"> №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576</w:t>
      </w:r>
      <w:r>
        <w:rPr>
          <w:rFonts w:cs="Times New Roman"/>
          <w:b w:val="false"/>
          <w:bCs w:val="false"/>
          <w:sz w:val="28"/>
          <w:szCs w:val="28"/>
        </w:rPr>
        <w:t>-п «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Об утверждении Положения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 государственной инспекции</w:t>
      </w:r>
      <w:r>
        <w:rPr>
          <w:rFonts w:cs="Times New Roman"/>
          <w:b w:val="false"/>
          <w:bCs w:val="false"/>
          <w:sz w:val="28"/>
          <w:szCs w:val="28"/>
        </w:rPr>
        <w:t xml:space="preserve"> по охране объектов культурного наследия Новосибирской области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»</w:t>
      </w:r>
      <w:r>
        <w:rPr>
          <w:rFonts w:cs="Times New Roman"/>
          <w:b w:val="false"/>
          <w:bCs w:val="false"/>
          <w:sz w:val="28"/>
          <w:szCs w:val="28"/>
        </w:rPr>
        <w:t>, на основании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отчета ГАУ Новосибирской области «Научно-производственный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Одиночный курган Щелчишка-1, расположенного на территории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Здвинского</w:t>
      </w:r>
      <w:r>
        <w:rPr>
          <w:b w:val="false"/>
          <w:bCs w:val="false"/>
          <w:sz w:val="28"/>
          <w:szCs w:val="28"/>
        </w:rPr>
        <w:t xml:space="preserve"> района Новосибирской области,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11</w:t>
      </w:r>
      <w:r>
        <w:rPr>
          <w:b w:val="false"/>
          <w:bCs w:val="false"/>
          <w:sz w:val="28"/>
          <w:szCs w:val="28"/>
        </w:rPr>
        <w:t xml:space="preserve">.04.2025, </w:t>
      </w:r>
    </w:p>
    <w:p>
      <w:pPr>
        <w:pStyle w:val="Normal"/>
        <w:keepNext w:val="true"/>
        <w:keepLines/>
        <w:tabs>
          <w:tab w:val="clear" w:pos="708"/>
          <w:tab w:val="left" w:pos="1559" w:leader="none"/>
          <w:tab w:val="left" w:pos="1701" w:leader="none"/>
        </w:tabs>
        <w:spacing w:lineRule="auto" w:line="240" w:before="0" w:after="0"/>
        <w:ind w:left="0" w:right="141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right="141" w:firstLine="567"/>
        <w:contextualSpacing/>
        <w:jc w:val="both"/>
        <w:rPr/>
      </w:pPr>
      <w:r>
        <w:rPr>
          <w:sz w:val="28"/>
          <w:szCs w:val="28"/>
        </w:rPr>
        <w:t>Утвердить особенности (предмет охраны) выявленного объекта археологического наследия Одиночный курган Щелчишка-1, расположенного на территории Здвинского района Новосибирской области (далее – памятник археологии Одиночный курган Щелчишка-1),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/>
        <w:ind w:left="0" w:right="141" w:firstLine="567"/>
        <w:jc w:val="both"/>
        <w:rPr/>
      </w:pPr>
      <w:r>
        <w:rPr>
          <w:sz w:val="28"/>
          <w:szCs w:val="28"/>
        </w:rPr>
        <w:t>Утвердить границы территории памятника археологии Одиночный курган Щелчишка-1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141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Одиночный курган Щелчишка-1,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  <w:tab w:val="left" w:pos="1276" w:leader="none"/>
        </w:tabs>
        <w:ind w:left="0" w:right="141" w:firstLine="567"/>
        <w:jc w:val="both"/>
        <w:rPr/>
      </w:pPr>
      <w:r>
        <w:rPr>
          <w:sz w:val="28"/>
          <w:szCs w:val="28"/>
        </w:rPr>
        <w:t>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                       (Растимешен 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5.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141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ind w:left="0" w:right="141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6.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7.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ind w:left="0"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141" w:hanging="0"/>
        <w:jc w:val="both"/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 xml:space="preserve">                                 Е.В. Макавчик</w:t>
      </w:r>
    </w:p>
    <w:p>
      <w:pPr>
        <w:pStyle w:val="Normal"/>
        <w:ind w:left="0" w:right="0"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Н.Е. Ермолович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  <w:t>228 63 55</w:t>
      </w:r>
    </w:p>
    <w:p>
      <w:pPr>
        <w:pStyle w:val="Normal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</w:r>
    </w:p>
    <w:p>
      <w:pPr>
        <w:pStyle w:val="Normal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/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/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/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СОГЛАСОВАНО: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/>
      </w:pPr>
      <w:r>
        <w:rPr>
          <w:sz w:val="22"/>
          <w:szCs w:val="22"/>
        </w:rPr>
        <w:t xml:space="preserve">Заместитель начальника инспекции – начальник 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 xml:space="preserve">отдела государственной охраны, использования </w:t>
      </w:r>
    </w:p>
    <w:p>
      <w:pPr>
        <w:pStyle w:val="Normal"/>
        <w:widowControl w:val="false"/>
        <w:rPr/>
      </w:pPr>
      <w:r>
        <w:rPr>
          <w:sz w:val="22"/>
          <w:szCs w:val="22"/>
        </w:rPr>
        <w:t>и популяризации объектов культурного наследия                                                                          А.А. Кубан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right"/>
        <w:rPr>
          <w:sz w:val="22"/>
          <w:szCs w:val="22"/>
        </w:rPr>
      </w:pPr>
      <w:r>
        <w:rPr>
          <w:sz w:val="22"/>
          <w:szCs w:val="22"/>
        </w:rPr>
        <w:t>«___» _________ 2025 г.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/>
      </w:pPr>
      <w:r>
        <w:rPr>
          <w:sz w:val="22"/>
          <w:szCs w:val="22"/>
        </w:rPr>
        <w:t xml:space="preserve">Консультант отдела государственного надзора и контроля                                                      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zh-CN" w:bidi="ar-SA"/>
        </w:rPr>
        <w:t>Ю.С. Жданова</w:t>
      </w:r>
    </w:p>
    <w:p>
      <w:pPr>
        <w:pStyle w:val="Normal"/>
        <w:widowControl w:val="false"/>
        <w:jc w:val="right"/>
        <w:rPr/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«___» _________ 2025 г.</w:t>
      </w:r>
    </w:p>
    <w:p>
      <w:pPr>
        <w:pStyle w:val="Normal"/>
        <w:widowControl w:val="fals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both"/>
        <w:rPr/>
      </w:pPr>
      <w:r>
        <w:rPr>
          <w:b/>
          <w:sz w:val="22"/>
          <w:szCs w:val="22"/>
        </w:rPr>
        <w:t>СВЕДЕНИЯ ОБ ЭКСПЕРТИЗЕ, ОПУБЛИКОВАНИИ (ОБНАРОДОВАНИИ), РАССЫЛКЕ ПРАВОВОГО АКТА</w:t>
      </w:r>
      <w:r>
        <w:rPr>
          <w:rStyle w:val="Style6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>: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1. Правовой акт является нормативным правовым актом.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2. Независимая антикоррупционная экспертиза: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1412"/>
        <w:gridCol w:w="4891"/>
      </w:tblGrid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правового акта размещен на официальном сайте инспекции или ГИС ЭД НСО (указать дату размещения):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экспертизы истек: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экспертизы поступило заключений независимой антикоррупционной экспертизы (количество)</w:t>
            </w:r>
          </w:p>
        </w:tc>
      </w:tr>
      <w:tr>
        <w:trPr>
          <w:trHeight w:val="34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ab/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3. Соблюдение Соглашения № 19 от 29.04.2019 о взаимодействии между Правительством Новосибирской области и прокуратурой Новосибирской области в сфере нормотворчества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5"/>
        <w:gridCol w:w="1518"/>
        <w:gridCol w:w="4833"/>
      </w:tblGrid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правового акта направлен в Прокуратуру Новосибирской области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рассмотрения истек: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поступило заключение (акт прокурорского реагирования):</w:t>
            </w:r>
          </w:p>
        </w:tc>
      </w:tr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ab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4. Рассылка: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3"/>
        <w:gridCol w:w="3462"/>
      </w:tblGrid>
      <w:tr>
        <w:trPr/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Количество экземпляров - адресат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Отметка об исполнении (дата, подпись и расшифровка подписи)</w:t>
            </w:r>
            <w:r>
              <w:rPr>
                <w:rStyle w:val="Style6"/>
              </w:rPr>
              <w:footnoteReference w:id="3"/>
            </w:r>
          </w:p>
        </w:tc>
      </w:tr>
      <w:tr>
        <w:trPr/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1) оригинал —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>Николаевой Н.А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в СЭДД – Макавчик Е.В., Кубану А.А., Ермоловичу Н.Е., Воротниковой Ю.В. (ГАУ НСО НПЦ).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 Минюст НСО, Законодательное Собрание НСО, ГУ Минюста России по НСО со сведениями об официальном опубликовании, Прокуратура НСО.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5. Правовой акт официальному опубликованию подлежит в полном объеме/за исключением (необходимое указать)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1"/>
        <w:gridCol w:w="2334"/>
      </w:tblGrid>
      <w:tr>
        <w:trPr/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исключением приложений 1, 2</w:t>
            </w:r>
          </w:p>
        </w:tc>
      </w:tr>
      <w:tr>
        <w:trPr/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Отметка о дате официального опубликования текста правового акта на портале правовой информации Новосибирской области (дата, подпись и расшифровка подписи)</w:t>
            </w:r>
            <w:r>
              <w:rPr>
                <w:rStyle w:val="Style6"/>
              </w:rPr>
              <w:footnoteReference w:id="4"/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6. Правовой акт размещению на официальном сайте инспекции в разделе НПА подлежит/не подлежит (необходимое указать)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1"/>
        <w:gridCol w:w="2334"/>
      </w:tblGrid>
      <w:tr>
        <w:trPr/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Подлежит размещению</w:t>
            </w:r>
          </w:p>
        </w:tc>
      </w:tr>
      <w:tr>
        <w:trPr/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Отметка о размещении текста правового акта на сайте инспекции (дата, подпись и расшифровка подписи)</w:t>
            </w:r>
            <w:r>
              <w:rPr>
                <w:rStyle w:val="Style6"/>
              </w:rPr>
              <w:footnoteReference w:id="5"/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ind w:left="0" w:right="0" w:hanging="0"/>
        <w:jc w:val="both"/>
        <w:rPr>
          <w:b/>
          <w:b/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ru-RU" w:eastAsia="zh-CN" w:bidi="ar-SA"/>
        </w:rPr>
        <w:t>Разработчик (исполнитель):                                                                                                   Н.Е.Ермолович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417" w:right="567" w:header="709" w:top="1134" w:footer="47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Сведения указываются исполнителем, за исключением отметок, проставляемых ответственными специалистами</w:t>
      </w:r>
    </w:p>
  </w:footnote>
  <w:footnote w:id="3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рассылку документа</w:t>
      </w:r>
    </w:p>
  </w:footnote>
  <w:footnote w:id="4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опубликование правовых актов</w:t>
      </w:r>
    </w:p>
  </w:footnote>
  <w:footnote w:id="5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размещение правовых актов на сайте управления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92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link w:val="90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92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938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94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88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93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Style8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WW8Num3z0">
    <w:name w:val="WW8Num3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11">
    <w:name w:val="Основной шрифт абзаца1"/>
    <w:qFormat/>
    <w:rPr/>
  </w:style>
  <w:style w:type="character" w:styleId="Style9">
    <w:name w:val="Номер страницы"/>
    <w:basedOn w:val="11"/>
    <w:rPr/>
  </w:style>
  <w:style w:type="character" w:styleId="12">
    <w:name w:val="Заголовок 1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qFormat/>
    <w:rPr/>
  </w:style>
  <w:style w:type="character" w:styleId="Style11">
    <w:name w:val="Символ сноски"/>
    <w:qFormat/>
    <w:rPr>
      <w:vertAlign w:val="superscript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13">
    <w:name w:val="Знак сноски1"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14">
    <w:name w:val="Знак концевой сноски1"/>
    <w:qFormat/>
    <w:rPr>
      <w:vertAlign w:val="superscript"/>
    </w:rPr>
  </w:style>
  <w:style w:type="character" w:styleId="Style14">
    <w:name w:val="Знак сноски"/>
    <w:qFormat/>
    <w:rPr>
      <w:vertAlign w:val="superscript"/>
    </w:rPr>
  </w:style>
  <w:style w:type="character" w:styleId="Style15">
    <w:name w:val="Знак концевой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jc w:val="both"/>
    </w:pPr>
    <w:rPr>
      <w:sz w:val="28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2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92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note Text"/>
    <w:basedOn w:val="Normal"/>
    <w:pPr/>
    <w:rPr>
      <w:sz w:val="20"/>
      <w:szCs w:val="20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5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6">
    <w:name w:val="Заголовок1"/>
    <w:basedOn w:val="Normal"/>
    <w:qFormat/>
    <w:pPr>
      <w:jc w:val="center"/>
    </w:pPr>
    <w:rPr>
      <w:sz w:val="28"/>
    </w:rPr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Droid Sans Devanagari"/>
    </w:rPr>
  </w:style>
  <w:style w:type="paragraph" w:styleId="17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Указатель1"/>
    <w:basedOn w:val="Normal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qFormat/>
    <w:pPr>
      <w:jc w:val="both"/>
    </w:pPr>
    <w:rPr>
      <w:sz w:val="28"/>
      <w:szCs w:val="28"/>
    </w:rPr>
  </w:style>
  <w:style w:type="paragraph" w:styleId="Style2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9">
    <w:name w:val="Стиль1"/>
    <w:basedOn w:val="Style17"/>
    <w:qFormat/>
    <w:pPr>
      <w:jc w:val="left"/>
    </w:pPr>
    <w:rPr/>
  </w:style>
  <w:style w:type="paragraph" w:styleId="212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Знак"/>
    <w:basedOn w:val="Normal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Application>LibreOffice/6.4.7.2$Linux_X86_64 LibreOffice_project/40$Build-2</Application>
  <Pages>3</Pages>
  <Words>771</Words>
  <Characters>5767</Characters>
  <CharactersWithSpaces>6840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1995-11-21T11:41:00Z</dcterms:created>
  <dc:creator>Bogomazova</dc:creator>
  <dc:description/>
  <dc:language>ru-RU</dc:language>
  <cp:lastModifiedBy/>
  <dcterms:modified xsi:type="dcterms:W3CDTF">2025-10-24T09:12:03Z</dcterms:modified>
  <cp:revision>90</cp:revision>
  <dc:subject/>
  <dc:title/>
</cp:coreProperties>
</file>