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г. Новосибирск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Одиночный курган Волчанка-1</w:t>
      </w:r>
      <w:r>
        <w:rPr>
          <w:b/>
          <w:sz w:val="28"/>
          <w:szCs w:val="28"/>
        </w:rPr>
        <w:t xml:space="preserve">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Доволенского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письма Е.В. Трусовой №2900/44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Одиночный курган Волчанка-1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Доволенского</w:t>
      </w:r>
      <w:r>
        <w:rPr>
          <w:sz w:val="28"/>
        </w:rPr>
        <w:t xml:space="preserve"> района Новосибирской области (далее – памятник археологии Одиночный курган Волчанка-1).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Одиночный курган Волчанка-1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Одиночный курган Волчанка-1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Одиночный курган Волчанка-1,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p>
      <w:pPr>
        <w:pStyle w:val="Normal"/>
        <w:widowControl w:val="false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СОГЛАСОВАНО: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Заместитель начальника инспекции – начальник 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 xml:space="preserve">отдела государственной охраны, использования </w:t>
      </w:r>
    </w:p>
    <w:p>
      <w:pPr>
        <w:pStyle w:val="Normal"/>
        <w:widowControl w:val="false"/>
        <w:rPr/>
      </w:pPr>
      <w:r>
        <w:rPr>
          <w:sz w:val="22"/>
          <w:szCs w:val="22"/>
        </w:rPr>
        <w:t>и популяризации объектов культурного наследия                                                                          А.А. Кубан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rPr/>
      </w:pPr>
      <w:r>
        <w:rPr>
          <w:sz w:val="22"/>
          <w:szCs w:val="22"/>
        </w:rPr>
        <w:t xml:space="preserve">Консультант отдела государственного надзора и контроля                                                      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zh-CN" w:bidi="ar-SA"/>
        </w:rPr>
        <w:t>Ю.С. Жданова</w:t>
      </w:r>
    </w:p>
    <w:p>
      <w:pPr>
        <w:pStyle w:val="Normal"/>
        <w:widowControl w:val="false"/>
        <w:jc w:val="right"/>
        <w:rPr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«___» _________ 2025 г.</w:t>
      </w:r>
    </w:p>
    <w:p>
      <w:pPr>
        <w:pStyle w:val="Normal"/>
        <w:widowControl w:val="false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jc w:val="both"/>
        <w:rPr/>
      </w:pPr>
      <w:r>
        <w:rPr>
          <w:b/>
          <w:sz w:val="22"/>
          <w:szCs w:val="22"/>
        </w:rPr>
        <w:t>СВЕДЕНИЯ ОБ ЭКСПЕРТИЗЕ, ОПУБЛИКОВАНИИ (ОБНАРОДОВАНИИ), РАССЫЛКЕ ПРАВОВОГО АКТА</w:t>
      </w:r>
      <w:r>
        <w:rPr>
          <w:rStyle w:val="Style6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>: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1. Правовой акт является нормативным правовым актом.</w:t>
      </w:r>
    </w:p>
    <w:p>
      <w:pPr>
        <w:pStyle w:val="Normal"/>
        <w:widowControl w:val="false"/>
        <w:jc w:val="both"/>
        <w:rPr>
          <w:sz w:val="22"/>
          <w:szCs w:val="22"/>
        </w:rPr>
      </w:pPr>
      <w:r>
        <w:rPr>
          <w:sz w:val="22"/>
          <w:szCs w:val="22"/>
        </w:rPr>
        <w:t>2. Независимая антикоррупционная экспертиза: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412"/>
        <w:gridCol w:w="4891"/>
      </w:tblGrid>
      <w:tr>
        <w:trPr/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размещен на официальном сайте инспекции или ГИС ЭД НСО (указать дату размещения):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экспертизы истек: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экспертизы поступило заключений независимой антикоррупционной экспертизы (количество)</w:t>
            </w:r>
          </w:p>
        </w:tc>
      </w:tr>
      <w:tr>
        <w:trPr>
          <w:trHeight w:val="340" w:hRule="atLeast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02</w:t>
            </w:r>
            <w:r>
              <w:rPr/>
              <w:t>.</w:t>
            </w:r>
            <w:r>
              <w:rPr/>
              <w:t>12</w:t>
            </w:r>
            <w:r>
              <w:rPr/>
              <w:t>.2025</w:t>
              <w:tab/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09</w:t>
            </w:r>
            <w:r>
              <w:rPr/>
              <w:t>.</w:t>
            </w:r>
            <w:r>
              <w:rPr/>
              <w:t>12</w:t>
            </w:r>
            <w:r>
              <w:rPr/>
              <w:t>.2025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3. Соблюдение Соглашения № 19 от 29.04.2019 о взаимодействии между Правительством Новосибирской области и прокуратурой Новосибирской области в сфере нормотворчества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1518"/>
        <w:gridCol w:w="4833"/>
      </w:tblGrid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правового акта направлен в Прокуратуру Новосибирской области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истек: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поступило заключение (акт прокурорского реагирования):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02</w:t>
            </w:r>
            <w:r>
              <w:rPr/>
              <w:t>.</w:t>
            </w:r>
            <w:r>
              <w:rPr/>
              <w:t>12</w:t>
            </w:r>
            <w:r>
              <w:rPr/>
              <w:t>.2025</w:t>
              <w:tab/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09</w:t>
            </w:r>
            <w:r>
              <w:rPr/>
              <w:t>.</w:t>
            </w:r>
            <w:r>
              <w:rPr/>
              <w:t>12</w:t>
            </w:r>
            <w:r>
              <w:rPr/>
              <w:t>.2025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  <w:t>4. Рассылка: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3"/>
        <w:gridCol w:w="3462"/>
      </w:tblGrid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экземпляров - адресат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sz w:val="22"/>
                <w:szCs w:val="22"/>
              </w:rPr>
              <w:t>Отметка об исполнении (дата, подпись и расшифровка подписи)</w:t>
            </w:r>
            <w:r>
              <w:rPr>
                <w:rStyle w:val="Style6"/>
              </w:rPr>
              <w:footnoteReference w:id="3"/>
            </w:r>
          </w:p>
        </w:tc>
      </w:tr>
      <w:tr>
        <w:trPr/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1) оригинал —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ru-RU" w:eastAsia="zh-CN" w:bidi="ar-SA"/>
              </w:rPr>
              <w:t>Николаевой Н.А</w:t>
            </w:r>
            <w:r>
              <w:rPr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в СЭДД – Макавчик Е.В., Кубану А.А., Ермоловичу Н.Е., Воротниковой Ю.В. (ГАУ НСО НПЦ).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 Минюст НСО, Законодательное Собрание НСО, ГУ Минюста России по НСО со сведениями об официальном опубликовании, Прокуратура НСО.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5. Правовой акт официальному опубликованию подлежит в полном объеме/за исключением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исключением приложений 1, 2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дате официального опубликования текста правового акта на портале правовой информации Новосибирской области (дата, подпись и расшифровка подписи)</w:t>
            </w:r>
            <w:r>
              <w:rPr>
                <w:rStyle w:val="Style6"/>
              </w:rPr>
              <w:footnoteReference w:id="4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6. Правовой акт размещению на официальном сайте инспекции в разделе НПА подлежит/не подлежит (необходимое указать)</w:t>
      </w:r>
    </w:p>
    <w:tbl>
      <w:tblPr>
        <w:tblW w:w="10096" w:type="dxa"/>
        <w:jc w:val="left"/>
        <w:tblInd w:w="-6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1"/>
        <w:gridCol w:w="2334"/>
      </w:tblGrid>
      <w:tr>
        <w:trPr/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Подлежит размещению</w:t>
            </w:r>
          </w:p>
        </w:tc>
      </w:tr>
      <w:tr>
        <w:trPr/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Отметка о размещении текста правового акта на сайте инспекции (дата, подпись и расшифровка подписи)</w:t>
            </w:r>
            <w:r>
              <w:rPr>
                <w:rStyle w:val="Style6"/>
              </w:rPr>
              <w:footnoteReference w:id="5"/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both"/>
        <w:rPr>
          <w:b/>
          <w:b/>
          <w:sz w:val="22"/>
          <w:szCs w:val="22"/>
        </w:rPr>
      </w:pPr>
      <w:r>
        <w:rPr>
          <w:rFonts w:eastAsia="Times New Roman" w:cs="Times New Roman"/>
          <w:b w:val="false"/>
          <w:bCs w:val="false"/>
          <w:color w:val="auto"/>
          <w:sz w:val="22"/>
          <w:szCs w:val="22"/>
          <w:lang w:val="ru-RU" w:eastAsia="zh-CN" w:bidi="ar-SA"/>
        </w:rPr>
        <w:t>Разработчик (исполнитель):                                                                                                   Н.Е.Ермолович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4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Сведения указываются исполнителем, за исключением отметок, проставляемых ответственными специалистами</w:t>
      </w:r>
    </w:p>
  </w:footnote>
  <w:footnote w:id="3">
    <w:p>
      <w:pPr>
        <w:pStyle w:val="Style24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рассылку документа</w:t>
      </w:r>
    </w:p>
  </w:footnote>
  <w:footnote w:id="4">
    <w:p>
      <w:pPr>
        <w:pStyle w:val="Style24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опубликование правовых актов</w:t>
      </w:r>
    </w:p>
  </w:footnote>
  <w:footnote w:id="5">
    <w:p>
      <w:pPr>
        <w:pStyle w:val="Style24"/>
        <w:rPr/>
      </w:pPr>
      <w:r>
        <w:rPr>
          <w:rStyle w:val="Style11"/>
        </w:rPr>
        <w:footnoteRef/>
      </w:r>
      <w:r>
        <w:rPr>
          <w:rFonts w:cs="Liberation Serif;Times New Roman" w:ascii="Liberation Serif;Times New Roman" w:hAnsi="Liberation Serif;Times New Roman"/>
        </w:rPr>
        <w:t>Отметка проставляется специалистом, ответственным за размещение правовых актов на сайте управления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5215" cy="170180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35pt;height:13.3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3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LibreOffice/6.4.7.2$Linux_X86_64 LibreOffice_project/40$Build-2</Application>
  <Pages>3</Pages>
  <Words>781</Words>
  <Characters>5809</Characters>
  <CharactersWithSpaces>6834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cp:lastPrinted>2025-11-11T09:37:25Z</cp:lastPrinted>
  <dcterms:modified xsi:type="dcterms:W3CDTF">2025-12-02T13:57:58Z</dcterms:modified>
  <cp:revision>27</cp:revision>
  <dc:subject/>
  <dc:title/>
</cp:coreProperties>
</file>