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rPr>
          <w:lang w:val="en-US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-114299</wp:posOffset>
                </wp:positionV>
                <wp:extent cx="558800" cy="6604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88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0.85pt;mso-position-horizontal:absolute;mso-position-vertical-relative:text;margin-top:-9.00pt;mso-position-vertical:absolute;width:44.00pt;height:52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pStyle w:val="936"/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936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9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pStyle w:val="929"/>
        <w:jc w:val="center"/>
        <w:spacing w:line="240" w:lineRule="auto"/>
        <w:rPr>
          <w:b/>
          <w:sz w:val="28"/>
        </w:rPr>
      </w:pPr>
      <w:r>
        <w:rPr>
          <w:b/>
          <w:sz w:val="28"/>
        </w:rPr>
        <w:t xml:space="preserve">ГОСУДАРСТВЕННАЯ ИНСПЕКЦИЯ</w:t>
      </w:r>
      <w:r>
        <w:rPr>
          <w:b/>
          <w:sz w:val="28"/>
        </w:rPr>
        <w:t xml:space="preserve"> ПО ОХРАНЕ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29"/>
        <w:jc w:val="center"/>
        <w:spacing w:line="240" w:lineRule="auto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32"/>
        <w:jc w:val="center"/>
        <w:spacing w:before="0" w:after="0" w:line="240" w:lineRule="auto"/>
      </w:pPr>
      <w:r>
        <w:t xml:space="preserve">НОВОСИБИРСКОЙ ОБЛАСТИ</w:t>
      </w:r>
      <w:r/>
    </w:p>
    <w:p>
      <w:pPr>
        <w:pStyle w:val="931"/>
        <w:jc w:val="center"/>
        <w:spacing w:line="240" w:lineRule="auto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 xml:space="preserve">ПРИКАЗ</w:t>
      </w:r>
      <w:r>
        <w:rPr>
          <w:rFonts w:ascii="Times New Roman" w:hAnsi="Times New Roman" w:cs="Times New Roman"/>
          <w:i w:val="0"/>
          <w:sz w:val="36"/>
          <w:szCs w:val="36"/>
        </w:rPr>
      </w:r>
      <w:r>
        <w:rPr>
          <w:rFonts w:ascii="Times New Roman" w:hAnsi="Times New Roman" w:cs="Times New Roman"/>
          <w:i w:val="0"/>
          <w:sz w:val="36"/>
          <w:szCs w:val="36"/>
        </w:rPr>
      </w:r>
    </w:p>
    <w:p>
      <w:pPr>
        <w:pStyle w:val="92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spacing w:line="240" w:lineRule="auto"/>
        <w:rPr>
          <w:sz w:val="28"/>
        </w:rPr>
      </w:pPr>
      <w:r>
        <w:rPr>
          <w:sz w:val="28"/>
        </w:rPr>
        <w:t xml:space="preserve">___________</w:t>
      </w:r>
      <w:r>
        <w:rPr>
          <w:sz w:val="28"/>
        </w:rPr>
        <w:tab/>
        <w:tab/>
        <w:tab/>
        <w:tab/>
        <w:tab/>
        <w:tab/>
        <w:tab/>
        <w:t xml:space="preserve">           </w:t>
      </w:r>
      <w:r>
        <w:rPr>
          <w:sz w:val="28"/>
        </w:rPr>
        <w:tab/>
      </w:r>
      <w:r>
        <w:rPr>
          <w:sz w:val="28"/>
        </w:rPr>
        <w:t xml:space="preserve">№ ___</w:t>
      </w:r>
      <w:r>
        <w:rPr>
          <w:sz w:val="28"/>
        </w:rPr>
        <w:t xml:space="preserve">____</w:t>
      </w:r>
      <w:r>
        <w:rPr>
          <w:sz w:val="28"/>
        </w:rPr>
      </w:r>
      <w:r>
        <w:rPr>
          <w:sz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утверждении инструкции о порядке организации 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29"/>
        <w:jc w:val="center"/>
        <w:spacing w:before="0" w:before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</w:rPr>
        <w:t xml:space="preserve">работы с обращениями граждан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right="0" w:firstLine="0"/>
        <w:jc w:val="both"/>
        <w:spacing w:before="0" w:before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реализации Федерального закона от 02.05.2006 № </w:t>
      </w:r>
      <w:r>
        <w:rPr>
          <w:rFonts w:ascii="Times New Roman" w:hAnsi="Times New Roman" w:cs="Times New Roman"/>
          <w:sz w:val="28"/>
        </w:rPr>
        <w:t xml:space="preserve">59-ФЗ «О порядке рассмотрения обращений граждан Российской Федерации» </w:t>
      </w:r>
      <w:r>
        <w:rPr>
          <w:rFonts w:ascii="Times New Roman" w:hAnsi="Times New Roman" w:cs="Times New Roman"/>
          <w:b/>
          <w:sz w:val="28"/>
        </w:rPr>
        <w:t xml:space="preserve">п р и </w:t>
      </w:r>
      <w:r>
        <w:rPr>
          <w:rFonts w:ascii="Times New Roman" w:hAnsi="Times New Roman" w:cs="Times New Roman"/>
          <w:b/>
          <w:sz w:val="28"/>
        </w:rPr>
        <w:t xml:space="preserve">к</w:t>
      </w:r>
      <w:r>
        <w:rPr>
          <w:rFonts w:ascii="Times New Roman" w:hAnsi="Times New Roman" w:cs="Times New Roman"/>
          <w:b/>
          <w:sz w:val="28"/>
        </w:rPr>
        <w:t xml:space="preserve"> а з ы в а ю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69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 Утвердить прилагаемую инструкцию о порядке организации работы с обращениями граждан</w:t>
      </w:r>
      <w:r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</w:rPr>
        <w:t xml:space="preserve">2. Признать утратившими </w:t>
      </w:r>
      <w:r>
        <w:rPr>
          <w:rFonts w:ascii="Times New Roman" w:hAnsi="Times New Roman" w:cs="Times New Roman"/>
          <w:sz w:val="28"/>
        </w:rPr>
        <w:t xml:space="preserve">силу: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 государственной инспекции по охране объектов культурного наследия Новосибирской области от 03.11.2020 № 218 «Об утверждении инструкции о порядке организации работы с обращениями граждан в государственной инспекции по охране объектов культурног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наследия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 государственной инспекции по охране объектов культурного наследия Новосибирской области от 24.02.2021 № 17 «О внесении изменений в Инструкцию о порядке организации работы с обращениями граждан в государственной инспекции по охране объектов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ультурного наследия Новосибирской области, утвержденную приказом государственной инспекции по охране объектов культурного наследия от 03.11.2020 № 218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 государственной инспекции по охране объектов культурного наследия Новосибирской области от 24.05.2021 № 69 «О внесении изменений в Инструкцию о порядке организации работы с обращениями граждан в государственной инспекции по охране объектов культ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урного наследия Новосибирской области, утвержденную приказом государственной инспекции по охране объектов культурного наследия от 03.11.2020 № 218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 государственной инспекции по охране объектов культурного наследия Новосибирской области от 14.01.2022 № 1 «О внесении изменений в приказ государственной инспекции по охране объектов культурного наследия Новосибирской области от 03.11.2020 № 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18 «Об утверждении инструкции о порядке организации работы с обращениями граждан в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 государственной инспекции по охране объектов культурного наследия Новосибирской области от 14.10.2022 № 222 «О внесении изменений в приказ государственной инспекции по охране объектов культурного наследия Новосибирской области от 03.11.2020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 218 «Об утверждении инструкции о порядке организации работы с обращениями граждан в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 государственной инспекции по охране объектов культурного наследия Новосибирской области от 26.01.2023 № 30-НПА «О внесении изменений в приказ государственной инспекции по охране объектов культурного наследия Новосибирской области от 03.11.202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 № 218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 государственной инспекции по охране объектов культурного наследия Новосибирской области от 05.02.2025 № 14 «О внесении изменений в приказ государственной инспекции по охране объектов культурного наследия Новосибирской области от 03.11.202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0 № 218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tabs>
          <w:tab w:val="left" w:pos="0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sz w:val="28"/>
          <w:szCs w:val="27"/>
        </w:rPr>
        <w:t xml:space="preserve">3. Контроль за исполнением настоящего приказа оставляю за собой.</w:t>
      </w:r>
      <w:r>
        <w:rPr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tabs>
          <w:tab w:val="left" w:pos="0" w:leader="none"/>
          <w:tab w:val="left" w:pos="992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 Настоящий приказ вступает в силу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30.03.2025.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tabs>
          <w:tab w:val="num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инспекции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  <w:tab/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Е.В. Макавчик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29"/>
        <w:jc w:val="both"/>
        <w:rPr>
          <w:sz w:val="20"/>
          <w:szCs w:val="20"/>
          <w:highlight w:val="none"/>
        </w:rPr>
      </w:pPr>
      <w:r>
        <w:rPr>
          <w:sz w:val="20"/>
        </w:rPr>
        <w:t xml:space="preserve">Ю.С. Жданова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29"/>
        <w:rPr>
          <w:sz w:val="20"/>
          <w:szCs w:val="20"/>
          <w:highlight w:val="none"/>
        </w:rPr>
      </w:pPr>
      <w:r>
        <w:rPr>
          <w:sz w:val="20"/>
        </w:rPr>
        <w:t xml:space="preserve">228 63 59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5669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5669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приказом государственной инспекции по охране объектов культурного наследия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5669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 № 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ИНСТРУКЦИЯ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 w:val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о порядке организации работы с обращениями граждан в государственной инспекции по охране объектов культурного наследи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 w:val="0"/>
        <w:jc w:val="center"/>
        <w:spacing w:before="0" w:after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I. Общие положения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Инструкция о порядке организации работы с обращениями граждан (далее – Инструкция) в государственной инспекции по охран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объектов культурного наследия Новосибирской области (далее - инспекция) устанавливает требования к организации работы по рассмотрению обращений граждан и лиц без гражданства (далее - граждане), объединений граждан, в том числе юридических лиц, поступивши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в инспекцию, индивидуальными и коллективными обращениями граждан в письменной форме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также проведению личного приема граждан начальником инспекции </w:t>
      </w:r>
      <w:r>
        <w:rPr>
          <w:rFonts w:ascii="Times New Roman" w:hAnsi="Times New Roman" w:cs="Times New Roman"/>
          <w:sz w:val="28"/>
          <w:szCs w:val="28"/>
        </w:rPr>
        <w:t xml:space="preserve">и уполномоченными на то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Работа по рассмот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рению обращений граждан и проведению личного приема граждан организуется в соответствии с Конституцией Российской Федерации, международными договорами Российской Федерации, федеральными конституционными законами, Федеральным законом от 02.05.2006 № 59-ФЗ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порядке рассмотрения обращений граждан Российской Федерации» (далее – Федеральный закон от 02.05.2006 № 59-ФЗ), иными федеральными законами, законами и иными нормативными правовыми актами Новосибирской области, решениями и поручениями Губернатора Новосиб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ирской области, Инструкцией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 345 «Об утверждении Инструкции по документац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ионному обеспечению Губернатора Новосибирской области», Инструкцией о порядке организации работы с обращениями граждан, утвержденной постановлением Губернатора Новосибирской области от 06.05.2019 № 134 «Об утверждении Инструкции о порядке организации работ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с обращениями граждан», а также настоящей Инструкцией.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обращ</w:t>
      </w:r>
      <w:r>
        <w:rPr>
          <w:rFonts w:ascii="Times New Roman" w:hAnsi="Times New Roman" w:cs="Times New Roman"/>
          <w:sz w:val="28"/>
          <w:szCs w:val="28"/>
        </w:rPr>
        <w:t xml:space="preserve">ений граждан является должностной обязанностью начальника инспекции, заместителя начальника инспекции, руководителей структурных подразделений инспекции, государственных гражданских служащих инспекции, должностных лиц инспекции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</w:t>
      </w:r>
      <w:r>
        <w:rPr>
          <w:rFonts w:ascii="Times New Roman" w:hAnsi="Times New Roman" w:cs="Times New Roman"/>
          <w:sz w:val="28"/>
          <w:szCs w:val="28"/>
        </w:rPr>
        <w:t xml:space="preserve">и государственной гражданской служб</w:t>
      </w:r>
      <w:r>
        <w:rPr>
          <w:rFonts w:ascii="Times New Roman" w:hAnsi="Times New Roman" w:cs="Times New Roman"/>
          <w:sz w:val="28"/>
          <w:szCs w:val="28"/>
        </w:rPr>
        <w:t xml:space="preserve">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  <w:t xml:space="preserve">Начальник инспекции несет персональную ответственность за соблюдение порядка рассмотрения обращения граждан.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Работу с обращениями граждан в инспекции организует отдел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обеспечения бюджетного процесса и деятельности.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II. При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ем, первичная обработка, учет, и регистрация письменных обращений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Письменные обращения, поступившие в инспекцию, подлежат обязательному рассмотрению.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Граждане имеют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 обращаться в инспекцию: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в письменной форме: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по почтовому адресу: Мичурина ул., 6, г. Новосибирск, 630099;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лично: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четверг: с 09.00 до 18.00;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пятница: с 09.00 до 17.00;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перерыв на обед: с 12.30 до 13.18;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суббота, воскресенье – выходные дни;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в форме электронного документа: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а) 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ерез унифицированную форму официального сайта инспекции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PT Serif" w:hAnsi="PT Serif" w:eastAsia="PT Serif" w:cs="PT Serif"/>
          <w:color w:val="22272f"/>
          <w:sz w:val="25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обеспечивающих идентификацию и (или) аутентификацию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офици</w:t>
      </w:r>
      <w:r>
        <w:rPr>
          <w:rFonts w:ascii="Times New Roman" w:hAnsi="Times New Roman" w:cs="Times New Roman"/>
          <w:sz w:val="28"/>
          <w:szCs w:val="28"/>
        </w:rPr>
        <w:t xml:space="preserve">альный сайт инспекции)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hyperlink r:id="rId13" w:tooltip="https://giookn.nso.ru;" w:history="1">
        <w:r>
          <w:rPr>
            <w:rStyle w:val="911"/>
            <w:rFonts w:ascii="Times New Roman" w:hAnsi="Times New Roman" w:cs="Times New Roman"/>
            <w:sz w:val="28"/>
            <w:szCs w:val="28"/>
          </w:rPr>
          <w:t xml:space="preserve">https://giookn.nso.ru</w:t>
        </w:r>
        <w:r>
          <w:rPr>
            <w:rStyle w:val="911"/>
            <w:rFonts w:ascii="Times New Roman" w:hAnsi="Times New Roman" w:cs="Times New Roman"/>
            <w:sz w:val="28"/>
            <w:szCs w:val="28"/>
          </w:rPr>
          <w:t xml:space="preserve">;</w:t>
        </w:r>
        <w:r>
          <w:rPr>
            <w:rStyle w:val="911"/>
          </w:rPr>
        </w:r>
        <w:r>
          <w:rPr>
            <w:rStyle w:val="91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</w:r>
        <w:r>
          <w:rPr>
            <w:rStyle w:val="91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 инспекции: </w:t>
      </w:r>
      <w:r>
        <w:rPr>
          <w:rFonts w:ascii="Times New Roman" w:hAnsi="Times New Roman" w:cs="Times New Roman"/>
          <w:sz w:val="28"/>
          <w:szCs w:val="28"/>
          <w:lang w:val="en-US"/>
        </w:rPr>
      </w:r>
      <w:hyperlink r:id="rId14" w:tooltip="mailto:giookn@nso.ru;" w:history="1">
        <w:r>
          <w:rPr>
            <w:rStyle w:val="911"/>
            <w:rFonts w:ascii="Times New Roman" w:hAnsi="Times New Roman" w:cs="Times New Roman"/>
            <w:sz w:val="28"/>
            <w:szCs w:val="28"/>
            <w:lang w:val="en-US"/>
          </w:rPr>
          <w:t xml:space="preserve">giookn</w:t>
        </w:r>
        <w:r>
          <w:rPr>
            <w:rStyle w:val="911"/>
            <w:rFonts w:ascii="Times New Roman" w:hAnsi="Times New Roman" w:cs="Times New Roman"/>
            <w:sz w:val="28"/>
            <w:szCs w:val="28"/>
          </w:rPr>
          <w:t xml:space="preserve">@nso.ru;</w:t>
        </w:r>
        <w:r>
          <w:rPr>
            <w:rStyle w:val="911"/>
          </w:rPr>
        </w:r>
        <w:r>
          <w:rPr>
            <w:rStyle w:val="91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  <w:t xml:space="preserve"> </w:t>
        </w:r>
        <w:r>
          <w:rPr>
            <w:rStyle w:val="91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76" w:lineRule="auto"/>
        <w:rPr>
          <w:rFonts w:ascii="Times New Roman" w:hAnsi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в) 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портал): https://esia.gosuslugi.ru.</w:t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обращения в письменной форме, ответственный за работу с обращениями граждан сотрудник инспекции проверяет оформление обращения в соответствии с требованиями статьи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Федерального закона от 02.05.2006 № 59-ФЗ к письменным обращениям, наличие указанных автором вложений и приложен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ий, знакомится с содержанием обращения, при необходимости гражданину оказывается содействие в правильном указании названия должности, фамилии, имени, отчества адресата (в именных обращениях), названий государственных органов (в адресных обращениях), при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обходимости гражданину предлагается устранить выявленные замечания по обращению.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Письменное обращение гражданина должно содержать в обязательном порядке: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либо наименование государственного органа, в который направляется обращение, либо фамилию, имя,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отчество соответствующего должностного лица, либо должность соответствующего должностного лица;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свои фамилию, имя, отчества (последнее - при наличии);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почтовый адрес, по которому должны быть направлены ответ, уведомление о переадресации или продлении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срока рассмотрения обращения;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суть обращения (предложение, заявление, жалоба);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личная подпись гражданина и дата.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необходимости в подтверждение своих доводов гражданин прилагает к письменному обращению документы и материалы либо их копии.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к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исьменному обращению приложены оригиналы документов и иные материалы, должностными лицами инспекции с оригиналов документов снимаются копии и составляется акт в двух экземплярах о получении оригиналов документов и иных материалов, после чего оригиналы доку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ментов и иных материалов с первым экземпляром акта высылаются гражданину заказной корреспонденцией по почтовому адресу, указанному в обращении, второй экземпляр акта и копии документов приобщаются к поступившему письменному обращению.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Обращение, поступи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вшее в инспекцию в форме электронного документа,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подлежит рассмотрению в порядке, установленном Федеральным законом от 02.05.2006 № 59-ФЗ и настоящей Инструкцией.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формировании обращения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ерез унифицированную форму официального сайта инспекции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PT Serif" w:hAnsi="PT Serif" w:eastAsia="PT Serif" w:cs="PT Serif"/>
          <w:color w:val="22272f"/>
          <w:sz w:val="25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гражданин заполняет все обязательные поля формы электронного документа, при этом в текстовое поле вводится текст обращения с изложением просьбы, заявления, предложения, жалобы.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обращении в форме электронного документа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гражданин в обязательном порядке указывает: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свои фами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лию, имя, отчество (последнее – при наличии),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адрес электронной почты</w:t>
      </w:r>
      <w:r>
        <w:rPr>
          <w:rFonts w:ascii="PT Serif" w:hAnsi="PT Serif" w:eastAsia="PT Serif" w:cs="PT Serif"/>
          <w:color w:val="000000" w:themeColor="text1"/>
          <w:sz w:val="25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либо использует адрес (уникальный идентификатор) личного кабинета на </w:t>
      </w:r>
      <w:hyperlink r:id="rId15" w:tooltip="https://www.gosuslugi.ru/" w:history="1">
        <w:r>
          <w:rPr>
            <w:rStyle w:val="91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Едином портале</w:t>
        </w:r>
        <w:r>
          <w:rPr>
            <w:rStyle w:val="91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,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которым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должны быть направлены ответ, уведомление о переадресации или продлении срока рассмотрения обращения;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3) текст обращения.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Гражданин вправе приложить к такому обращению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обходимые документы и материалы в электронной форме.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Обращение, в текстовом поле которого не изложена суть обращения, а указана ссылка на интернет-ресурсы или прилагаемые файлы без указания наименования инспекции или должностного лица инспекции, не принима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ется к рассмотрению. Такие обращения расцениваются как электронная рассылка файлов.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Поздравления, приглашения, соболезнования, печатные издания, поступившие в адрес инспекции или иному должностному лицу, без регистрации и сканирования направляются адре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сатам.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Обращения граждан подлежат обязательной регистрации в течение трех дней с момента поступления в инспекцию.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Регистрация обращений производится в системе электронного документооборота и делопроизводства Правительства Новосибирской облас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(далее – СЭДД).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Зарегистрированное обращение граждан поступает начальнику инспекции для принятия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решения о дальнейшем рассмотрении обращения.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инспекции определяет должностных лиц инспекции для решения поставленных в обращении вопросов и направляет письменное обращение в электронном виде через СЭДД для рассмотрения обращения.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По решению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начальника инспекции рассмотрение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обращений может производиться с выездом на место.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 В случае, если гражданин совершает действия, представляющие непосредственную угрозу для жизни и здоровья окружающих, должностное лицо инспекции ставит в известность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начальника инспекции, вызывает сотрудника службы безопасности инспекции, полиции и, при необходимости, работников скорой медицинской помощи.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 Запрещается преследование гражданина в связи с его обращением в государственный орган или к должностному лицу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 При рассмотрении (обработке)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обращений не допус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кается разглашение сведений, содержащихся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обращении, а также сведений, касающихся частной жизни гражданина, без его согласия. Не является разглашением сведений, содержащихся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обращении, направление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обращения в государст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 Обращение, содержащее вопросы, решение которых не входит в компетенцию инспекции, направляется в течен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бращение, о переадресации его обращения, с указанием куда и по каким вопросам переадресовано его обращение, за исключением случая, указанного в подпункте 2 пункта 24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Инструкции.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 Запрещается направлять жалобу на рассмотрение в исполнительный орган госуд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арственной власти, орган местного самоуправления или должностному лицу, решение или действие (бездействие) которых обжалуется. В случае если в соответствии с указанным запретом невозможно направление жалобы на рассмотрение в исполнительный орган государств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власти,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ие) в установленном порядке в суд.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 Начальник инспекции при получении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21. Обращение, в котором обжалуется судебное решение, в течение семи дней со дня регистрации воз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вращается гражданину, направившему обращение, с разъяснением порядка обжалования данного судебного решения.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 В случае если в обращении гражданина содержится вопрос, на который ему неоднократно (два и более раз) давались письменные ответы по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уществу в связи с ранее направленными обращениями, и при этом в обращении не приводятся новые доводы или обстоятельства, начальник инспекции вправе принять решение о безосновательности очередного обращения и прекращении переписки с гражданином по данному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опросу при условии, что указанное обращение и ранее направленные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23. В случае поступления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инспекцию обращения, содержащего вопрос, ответ на который размещен на официальном сайте инспекции в информационно-телекоммуникационной сети «Интернет», гражданину, направившему обращение, в течение семи дней со дня регистрации обращения сообща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ется электронный адрес официального сайта органа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24. Ответ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обращение не дается в случаях, если: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в обращении не указаны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текст обращения не поддается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направившему обращение, если его фамилия и почтовый адрес поддаются прочтению;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текст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ответ по существу поставленного в обращении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пустимостью разглашения указанных сведений.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инспекцию.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25. Подготовка отзывов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жалобы граждан, связанные с обжалованием в суде принятых по обращению решений или совершенных должностными лицами инспекции действий (бездействия) в связи с рассмотрением обращений, осуществляется с участием должностных лиц решение, действие (бездейств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ие) которых обжалуется, с участием представителей управления по работе с обращениями граждан – общественной приемной Губернатора Новосибирской области и министерства юстиции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Письменные отзывы в суд на жалобы граждан (истцов) готовятс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с учетом сроков, указанных в судебных повестках.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Порядок и сроки рассмотрения письменных обращений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26. Обращение, направленное в инспекцию, в соответствии с Федеральным законом от 02.05.2006 № 59-ФЗ рассматривается в течение 30 дней со дн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регистрации.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Начальник инспекции или должностное лицо, временно исполняющее обязанности начальника инспекции, в пределах своей компетенции: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обеспечивает объективное, всестороннее и своевременное рассмотрение обращения, в случае необходимости – с участ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гражданина, направившего обращение;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запрашивает, в том числе в электронной форме, необходимые для рассмотрения обращения документы и материалы в других структурных подразделениях администрации, исполнительных органах государственной власти, органах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местного самоуправления, государственных органах и у иных должностных лиц, за исключением судов, органов дознания и органов предварительного следствия;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дает письменный ответ по существу поставленных в обращении вопросов, за исключением случаев, указанны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в пункте 21 Инструкции.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27. При поступлении запроса документов и материалов государственного органа, органа местного самоуправления или должностного лица, рассматривающих обращение, инспекция обязана в течение 15 дней со дня поступления запроса предостав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 и для которых установлен особый порядок 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28. В исключительных случаях, а также в случаях направления запроса документов и материалов, необходимых для рассмотрения обращения, в государственный орган, орган местного самоуправления или должностному лицу инспекция вправе продлить 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рассмотрения обращения не более чем на 30 дней, уведомив о продлении срока его рассмотрения гражданина, направившего обращение.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письменное обращение поступило в инспекцию от иного государственного органа, органа местного самоуправления или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должностного лица с запросом информации о результатах рассмотрения обращения, то уведомление о продлении срока рассмотрения обращения направляется гражданину, направившему обращение и в государственный орган, орган местного самоуправления, учреждение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организацию или должностному лицу, направившему обращение на рассмотрение.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Продление срока рассмотрения письменного обращения может быть только однократным.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29. Проект ответа готовится в двух экземплярах. Первый экземпляр направляется в адрес заявителя,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второй экземпляр подшивается в дело с материалами по обращению.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30. Ответ на письменное обращение подписывается начальником инспекции или лицом на то уполномоченным.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31. Рассмотрение запросов, обращений сенатора Российской Федерации, депутата осуществляется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Федеральным законом от 08.05.1994 № 3-ФЗ «О статусе сенатора Российской Федерации и статусе депутата Государственной Думы Федерального Собрания Российской Федерации», Федеральным законом от 02.05.2006 № 59-ФЗ, Законом Новосибирской област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от 25.12.2006 № 81-ОЗ «О статусе депутата Законодательного Собрания Новосибирской области», Регламентом Правительства Новосибирской области, утвержденным постановлением Правительства Новосибирской области от 26.04.2010 № 1-п «О Регламенте Правительства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овосибирской области».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32. При обращении сенатора Российской Федерации, депутата инспекция безотлагательно (а при необходимости получения дополнительных материалов – не позднее 30 дней со дня получения обращения) дает ответ на это обращение и предоставляет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запрашиваемые документы или сведения. При этом сведения, составляющие государственную тайну, предоставляются в порядке, установленном федеральным законом о государственной тайне.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 на запросы, обращения сенаторов Российской Федерации, депутата, а такж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их письма о направлении на рассмотрение обращений граждан с запросом документов и материалов о результатах рассмотрения обращений подписывается начальником инспекции либо лицом, временно исполняющим его обязанности.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33. Проект ответа на письменное обраще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 за подписью Губернатора Новосибирской области, первого заместителя Губернатора Новосибирской области, заместителя Губернатора Новосибирской области представляется должностным лицом, указанным в резолюции первым или единственным исполнителем, на подпись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Губернатору Новосибирской области, первому заместителю Губернатора Новосибирской области, заместителю Губернатора Новосибирской области не позднее чем за пять дней до окончания срока рассмотрения письменного обращения.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34.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твет в письменной форме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о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тветственным исполнителем</w:t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передается</w:t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в отдел обеспечения бюджетного процесса и деяте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льности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  <w:t xml:space="preserve"> для последующего его направления</w:t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по почтовому адресу, указанному в обращении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твет на обращение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направляется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в день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регистрации либо на следующий за ним рабочий день.</w:t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trike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35. Ответ на обращение гражданина, который должен быть направлен форме электронного документа по адресу электронной почты, указанному в обращении,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 по адресу (уникальному идентификатору) личного кабинета гражданина на </w:t>
      </w:r>
      <w:hyperlink r:id="rId16" w:tooltip="https://www.gosuslugi.ru/" w:history="1">
        <w:r>
          <w:rPr>
            <w:rStyle w:val="91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Едином портале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u w:val="none"/>
        </w:rPr>
        <w:t xml:space="preserve">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использовании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печатается на официальном бланке инспекции,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сканируется и направляется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 день регистрации либо на следующий за ним рабочий день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гражданину.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36. На поступившее в инспекцию обращение, содержащее предложение, заявление или жалобу, которые затрагивают интересы неопределенного круга лиц, в частности на обращение,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инспекции в информационно-телекоммуникационной сети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Интернет».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 на обращение, уведомления гражданам о переадресации обращения, о продлении срока рассмотрения обращения в форме электронного документа отправляются с адреса электронной почты, указанного на официальном сайте инспекции.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Подтверждение отправ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 ответов, уведомлений гражданам о переадресации, продления срока рассмотрения обращения распечатывается, сканируется и прикрепляется к регистрационной карточке в СЭДД, затем подшивается к обращению.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Контроль за соблюдением порядка рассмотрения обраще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37. Контроль за соблюдением порядка рассмотрения обращений, поступивших в инспекцию, осуществляет начальник инспекции, а также уполномоченное лицо за работу с обращениями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38. Решение о постановке обращения, поступившего непосредственно в инспекцию, на контроль принимает начальник инспекции.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39. Решение о снятии обращения с контроля принимает начальник инспекции.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40. По всем фактам нарушения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порядка рассмотрения обращений, поступивших в инспекцию, начальник инспекции проводит служебные проверки с целью установления причин допущенных нарушений и принятия мер дисциплинарного воздействия.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V. Формирование архива письменных обращений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lef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41. В инспе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кции ведутся архивы обращений: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электронный архив в СЭДД – электронные образы всех обращений, поступивших в инспекцию, ответов на обращения, документов и материалов, связанных с рассмотрением обращений;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spacing w:before="283" w:after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архив оригиналов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документов и материалов, приложенных к обращению, рассмотренных инспекцией.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Оригиналы обращений, ответы на обращения, документы и материалы, касающиеся рассмотрения обращений, формируются в дела.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Дело состоит из: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оригинала обращения, приложения к нему (при их наличии) и конверт (при наличии), либо копии обращения (если обращение было направлено в иной государственный орган, орган местного самоуправления, ино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 должностному лицу) или распечатанная копия обращения, поступившего в форме электронного документа;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сопроводительного письма (при наличии);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копии уведомления заявителю о переадресации его обращения (при наличии);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материалы проверки по обращению (в случае ее проведении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копии уведомления заявителю о продлении срока рассмотрения обращения (при наличии);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второго экземпляра письменного ответа (при наличии) или копии письменного ответа на обращение;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отчета об отправке направления уведомления заявителю о переадресации его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бращения, уведомления о продлении срока рассмотрения его обращения, ответа заявителю в форме электронного документа.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Дела формируются по порядковому регистрационн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ому номеру в СЭДД и хранятся в соответствии с утвержденной номенклатурой дел.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Дела с истекшим сроком хранения уничтожаются по акту.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VI. Личный прием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42. Личный прием граждан в инспекции организуется в соответствии с Федеральным законом от 02.05.200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№ 59-ФЗ,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и органах местного самоуправления муниципальных образований Новосибирской области» (далее – постановление Губернатора Новосибирской области от 25.12.2006 № 516) и настоящей Инструкцией.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43. Личный прием ведет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начальник инспекции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иные уполномоченные на то лица.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44. В соответствии с постановлением Губернатора Новосибирской области от 25.12.2006 № 516 в инспекции личный прием граждан проводится в единый день личного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ема по пятницам каждой недели с 14.00 до 17.00.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45. Предварительная запись граждан на личный прием к начальнику инспекции осуществляется должностным лицом инспекции, обеспечивающим организацию личного приема, на основании поступивших: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устного обращения гражда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нина о записи на личный прием (при обращении лично или по справочному телефону);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письменного обращения гражданина о личном приеме. Поступившее обращение гражданина о записи на личный прием подлежит регистрации в СЭДД.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46. Должностное лицо инспекции, ответстве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нный за организацию проведения личного приема, вправе уточнить мотивы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содерж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также ознакомиться с документами, подтверждающими обстоятельства, изложенные в обращении гражданина.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47. В случае, если в обращении содержатся вопросы, решение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которых не входят в компетенцию инспекции, гражданину дается разъяснение, куда и в каком порядке ему следует обратиться.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48. О дате, времени и месте проведения личного приема начальником инспекции заявителю сообщается должностным лицом инспекции, ответственным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организацию проведения личного приема, по номеру телефона, указанному заявителем в обращении (при наличии), либо письменно (при отсутствии номера телефона заявителя) не позднее чем за пять дней до даты проведения личного приема.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49. Информация для граж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 о времени, месте и порядке проведения личного приема размещается на официальном сайте инспекции и на информационных стендах и (или) других технических средствах аналогичного назначения в инспекции.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50. Непосредственно перед личным приемом граж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 проводится необходимая подготовка: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создание комфортных условий для граждан, ожидающих личного приема;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оформление карточек личного приема граждан, пришедших на личный прием.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карточку личного приема гражданина вносятся: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имя, отчество (по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следнее – при наличии) заявителя и (или) наименование объединения граждан, в том числе юридического лица, представителем которого он является;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почтовый адрес для направления письменного ответа и контактный номер телефона заявителя;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суть вопроса (вопросов)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обращения;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должность, фамилия и инициалы руководителя или уполномоченного лица, ведущего личный прием;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подготовка справочной информации по обращениям граждан (в том числе повторным);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информирование граждан о порядке проведения личного приема.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51. В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лучае, 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сли гражданин на личный прием не явился, в карточке личного приема гражданина делается запись следующего содержания: «На личный прием не явился», проставляется подпись должностного лица, обеспечивающего организацию личного приема, в регистрационной карточк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в СЭДД проставляется отметка о неявке гражданина на личный прием. Электронный образ карточки личного приема гражданина прикрепляется к регистрационной карточке в СЭДД.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52. При личном приеме гражданин предъявляет документ, удостоверяющий его личность.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ае невозможности проведения личного приема в связи с болезнью, отпуском, командировкой начальника инспекции должностное лицо инспекции, ответственный за организацию проведения личного приема, заблаговременно предупреждает граждан о проведении личного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иным уполномоченным на то лиц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keepLines/>
        <w:spacing w:after="0" w:afterAutospacing="0" w:line="276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Правом на первоочередной личный прием обладают: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r>
    </w:p>
    <w:p>
      <w:pPr>
        <w:pStyle w:val="769"/>
        <w:numPr>
          <w:ilvl w:val="0"/>
          <w:numId w:val="25"/>
        </w:numPr>
        <w:contextualSpacing/>
        <w:ind w:left="0" w:right="0" w:firstLine="709"/>
        <w:jc w:val="both"/>
        <w:keepLines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отдельные категории граждан в случаях, предусмотренных законодательством Российской Федерации (сенаторы Российской Федерации и депутаты Государственной Думы Федерального Соб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рания Российской Федерации, Герои Советского Союза, Герои Российской Федерации, полные кавалеры орденов Славы)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69"/>
        <w:numPr>
          <w:ilvl w:val="0"/>
          <w:numId w:val="25"/>
        </w:numPr>
        <w:contextualSpacing/>
        <w:ind w:left="0" w:right="0" w:firstLine="709"/>
        <w:jc w:val="both"/>
        <w:keepLines/>
        <w:spacing w:after="198" w:afterAutospacing="0" w:line="276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инвалиды I и II групп, их законные представители;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69"/>
        <w:numPr>
          <w:ilvl w:val="0"/>
          <w:numId w:val="25"/>
        </w:numPr>
        <w:contextualSpacing/>
        <w:ind w:left="0" w:right="0" w:firstLine="709"/>
        <w:jc w:val="both"/>
        <w:keepLines/>
        <w:spacing w:after="198" w:afterAutospacing="0" w:line="276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участники Великой Отечественной войны, труженики тыла, инвалиды Великой Отечественной войны, инвалиды боевых действий и члены их семей;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69"/>
        <w:numPr>
          <w:ilvl w:val="0"/>
          <w:numId w:val="25"/>
        </w:numPr>
        <w:contextualSpacing/>
        <w:ind w:left="0" w:right="0" w:firstLine="709"/>
        <w:jc w:val="both"/>
        <w:keepLines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ветераны боевых действий, участники специальной военной операции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члены их семей.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keepLines/>
        <w:spacing w:after="0" w:afterAutospacing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случае если правом на первоочередной личный прием одновременно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 личный прием.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Личный прием граждан может проводиться с согласия гражданина в режиме видеоконференц-связи, видеосвязи, аудиосвязи и иных видов связи в помещениях, оборудованных рабочими местами со специальным программным обеспечением по проведению личного приема и приема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режиме видео-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u w:val="none"/>
        </w:rPr>
        <w:t xml:space="preserve">конференц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u w:val="none"/>
        </w:rPr>
        <w:t xml:space="preserve">-связи, видеосвязи, аудиосвязи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иных видов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55. Все граждане, пришедшие на личный прием, должны быть приняты начальником инспекции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уполномоченными на то лицами в день личного приема.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contextualSpacing/>
        <w:ind w:firstLine="720"/>
        <w:jc w:val="both"/>
        <w:spacing w:after="198" w:afterAutospacing="0" w:line="276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56. Начальник инспекции или иное уполномоченное на проведение личного приема лицо: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представляется заяви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телю;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уточняет у заявителя информацию, обращался ли он в какой-либо орган 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разрешения поставленного в устном обращении вопроса, и в каком порядке он обращался.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57. По результатам личного приема гражданину дается ответ на вопросы, изложенные в обращении. В случае если изложенные в устном обращении факты и обстоятельства являются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 следующего содержания: «С согласия заявителя ответ на обращение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дан устно, письменный ответ не требуется», и проставляется подпись должностного лица либо уполномоченного лица, проводившего личный прием.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остальных случаях дается письменный ответ по существу поставленных в обращении вопросов в установленные Федеральны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законом от 02.05.2006 № 59-ФЗ сроки.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58. Письменное обращение, принятое в ходе личного приема, подлежит регистрации и рассмотрению в порядке, установленном Федеральным законом от 02.05.2006 № 59-ФЗ и настоящей Инструкцией.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59. В ходе личного приема гражд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60. Начальник инспекции или уполномоченное лицо, проводившие личный прием граждан,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принимают решение по рассмотрению поставленных в обращении вопросов. Контроль за исполнением данных поручений по обращению осуществляет ответственное лицо за работу с обращениями граждан.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61. После завершения личного приема должностное лицо инспекции, обеспечи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вающий организацию личного приема, регистрирует обращение личного приема в СЭДД, к регистрационным карточкам прикрепляют электронные образы карточек личного приема граждан.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62. Письменный ответ гражданину по результатам рассмотрения обращения на личном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еме подписывает начальник инспекции или уполномоченное лицо, проводившее личный прием. Письменный ответ гражданину направляется по почтовому адресу, указанному в карточке личного приема. Второй экземпляр письменного ответ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хранится с карточкой личного приема гражданина. Электронный образ письменного ответа прикрепляется к регистрационной карточке в СЭДД.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63. В инспекции ведутся архивы карточек личного приема граждан: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архив оригиналов карт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очек личного приема граждан начальником инспекции или лицом, ответственным за работу с обращениями граждан.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Архив формируется из оригиналов карточек личного приема граждан, копии письменного обращения гражданина (при наличии), копии письменного ответа граж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данину по результатам личного приема, документов и материалов, касающихся рассмотрения обращения, уведомления гражданина о продлении рассмотрении обращения;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электронный архив в СЭДД.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64. Электронный архив формируется из электронных образов карточек личн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приема граждан, письменных обращений граждан, документов и материалов, касающихся рассмотрения обращений, уведомлений заявителям о продлении срока рассмотрения обращений, письменных ответов граждан по результатам личного приема.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VII. Прием граждан должностными лицами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инспекции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lef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65. Прием граждан должностными лицами инспекции осуществляется в соответствии с Положением инспекции, утвержденным Постановлением Правительства Новосибирской области от 29.12.2018 № 576-п «Об утверждении Положения о государственной инспекции по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хране объектов культурного наследия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помещении инспекции по адресу: г. Новосибирск, ул. Мичурина, 6, в рабочие дни с 9-00 до 18-00 (в пятницу с 9-00 до 17-00), выходные дни – суббота, воскресенье.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ормация о режиме работы инспекции размещается: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на официальном сайте инспекции;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на информационном стенде в холле на первом этаже здания инспекции.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информационном стенде в холле на первом этаже здания инспекции и на сайте инспекции размещается следующ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информация: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режим работы инспекции;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порядок и время приема граждан, представителей организаций, общественных организаций, государственных органов, органов местного самоуправления начальником инспекции, должностными лицами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отделов инспекции;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порядо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рассмотрения обращений и граждан;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образец письменного обращения;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порядок обжалования принятого решения по обращениям решения или действия (бездействия) должностного лица в связи с рассмотрением обращения;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фамилия, имя и отчество должностного лица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 обеспечения бюджетного процесса и деятельности, к полномочиям которого отнесена организация приема граждан, в том числе представителей организаций, общественных объединений, государственных органов, органов местного самоуправления, обеспечение рассмотре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их обращений, а также номер телефона, по которому можно получить информацию справочного характера;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обзоры обращений граждан, в том числе представителей организаций, общественных объединений, а также обобщенная информация о результатах рассмотрения 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тих обращений и принятых мерах.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VIII. Порядок рассмотрения запросов в устной форме и электронных сообщений, поступивших в инспекцию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66. В инспекции организуется работа справочного телефона. Номер справочного телефона: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(8383) 228-63-58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работает в рабочие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 с 9-00 до 18-00 (в пятницу с 9-00 до 17-00).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телефона для приема электронных сообщений в форме смс-сообщений: 8-962-838-1853. Телефон для приема электронных сообщений в форме смс-сообщений работает круглосуточно каждый день в режиме автоматического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работе справочного телефона, о порядке предоставления информации на запросы в устной форме и на электронные сообщения, поступившие в форме аудио-сообщения и смс-сообщения, размещена на официальном сайте инспекции.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67. Гражданин, обрат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ившийся по справочному телефону, указывает: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номер телефона и (или) факса для уточнения содержания запроса;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фамилию, имя, отчество, либо наименование организации, общественного объединения, государственного органа, органа местного самоуправления, запраш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ивающих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Анонимные запросы не рассматриваются.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Должностные лица инспекции, обеспечивающие деятельность справочного телефона, вправе: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уточнять запрашиваемую информацию в целях предоставления заявителю более полной информации;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уточнить у заявителя: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его фамилию, имя, отчество (последнее – при наличии);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его номер телефона и (или) номер факса;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или сообщения.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68. Поступившие по справочному телефону запросы в устной форме и электронные сообщения заявителей подлежат систематизации на: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запросы в устной форме (далее – устные запросы);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электронные сообщения, поступившие в форме аудио-сообще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(далее – аудио-сообщения);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электронные сообщения, поступившие в форме смс-сообщения (далее – смс-сообщения).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69. Поступившие по справочному телефону устные запросы, аудиосообщения и смс-сообщения подлежат регистрации в СЭДД в день поступления с 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анием даты и времени поступления.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регистрации устного запроса, аудио-сообщения и смс-сообщения заполняется регистрационная карточка в СЭДД.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регистрационную карточку вносится следующая информация: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дата и время поступления устного запроса, аудио-соо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бщения и смс-сообщения;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фамилия, имя, отчество (последнее – при наличии) заявителя;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номер телефона и (или) факса заявителя;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содержание запрашиваемой информации в устном запросе, аудиосообщении и смс-сообщении;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наименование государственного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органа местного самоуправления либо фамилия, имя, отчество должностного лица, в чьей компетенции находится рассмотрение поступившего вопроса;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прикрепляются файлы с записью аудиосообщения и смс-сообщения;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иная информация, представленная заявителем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целях рассмотрения его устного запроса, аудиосообщения и смс-сообщения.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70. Устные запросы, аудиосообщения и смс-сообщения обрабатываются должностные лица инспекции, обеспечивающими деятельность справочного телефона, в день поступления устных запросов, ауд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иосообщений и смс-сообщений (в первый рабочий день после выходного, праздничного дня – в случае поступления устных запросов, аудиосообщений и смс-сообщений в выходной или праздничный день).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71. Гражданину, направившему устный запрос или аудиосообщение,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самоуправления, в компетенцию которых входит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ешение содержащихся в устном запросе и аудиосообщении вопросов.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72. На устные запросы и аудиосообщения граждан, поступившие в справочную телефонную службу предоставляется информация: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о режиме работы инспекции;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 порядке проведения личного приема 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ждан в инспекции;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о порядке и сроках рассмотрения письменных и устных обращений и запросов граждан;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 фамилии, имени и отчестве должностных лиц, к полномочиям которых отнесены организация личного приема граждан и обеспечение рассмотрения обращений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инспекции;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о регистрационном номере поступившего обращения и запроса, в какой государственный орган, орган местного самоуправления или какому должностному лицу оно направлено на рассмотрение;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о почтовых адресах и номерах справочных телефонов инспе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о порядке обжалования действий (бездействия) должностных лиц и уполномоченных лиц, связанных с рассмотрением обращений и запросов.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73.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Поступившие устные обращения граждан по вопросу личного приема начальником инспекции по телефону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((8383)228-63-58)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подлежат регистрации в СЭДД в день поступления обращения с указанием заголовка "О личном приеме", даты и времени обращения. При этом гражданину раз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ъясняется порядок записи и проведения личного приема, предлагается изложить суть вопроса или просьбы в письменной форме или в форме электронного документа, назначается дата и время личного приема гражданина начальником инспекции.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74. При рассмотрении смс-сообщения должностное лицо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инспекции: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направляет гражданину в день поступления его смс-сообщения ответное смс-сообщение с необходимой справочной информацией;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связывается по определившемуся номеру телефона с гражданином и предоставляет запрашиваемую справочную информацию либо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сообщает номера справочных телефонов и другую контактную информацию исполнительных органов государственной власти или органов местного самоуправления, в компетенцию которых входит решение содержащихся в смс-сообщении вопросов;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связывается по определивше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муся номеру телефона с гражданином, предлагает изложить суть смс-сообщения в виде обращения в письменной форме либо в форме электронного документа и направить данное обращение в инспекции;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в случае если обращение, направленное в форме смс-сообщения, явля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ется обращением, направленным в форме электронного документа, обеспечивает регистрацию и рассмотрение данного смс-сообщения в соответствии c Федеральным законом от 02.05.2006 № 59-ФЗ и настоящей Инструкцией.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75. Информация на устные запросы, аудиосообщени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и смс-сообщения не предоставляется в соответствии со статьей 20 Федерального закона от 09.02.2009 № 8-ФЗ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обеспечении доступа к 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76. Контроль за рассмотрением устных запросов, аудиосообщений и смс-сообщений осуществляет инспекция в пределах своей компетенции.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IX. Анализ обраще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ний граждан, а также результатов рассмотрения обращений и принятых по ним мер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77. Анализ вопросов, содержащихся в обращениях граждан, осуществляется на основе типового общероссийского тематического классификатора обращений граждан организаций и общественны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объединений, утвержденного заместителем Руководителя Администрации Президента Российской Федерации 28.06.2013 № А1-3695в.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78. Инспекция анализирует содержание поступивших в инспекцию письменных и устных обращений граждан, результаты рассмотрения обращ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ений и принятые по обращениям меры.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X. Порядок обжалования решений или действий (бездействия) должностных лиц инспекции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79. Гражданин вправе обжаловать принятое по обращению решение или действие (бездействие) должностного лица инспекции в связи с рассм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отрением обращения в административном и (или) судебном порядке в соответствии с законодательством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80. Гражданин вправе обратиться с жалобой на принятое по обращению решение или на действие (бездействие):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должностных лиц инспекции – к начальнику инспекции;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начальника инспекции – к Губернатору Новосибирской области, первому заместителю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Губернатора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заместителям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Губернатора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осуществляющим непосредственную координацию и контроль деятельности в соответствии с их полномочиями.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81. </w:t>
      </w:r>
      <w:r>
        <w:rPr>
          <w:rFonts w:ascii="Times New Roman" w:hAnsi="Times New Roman" w:cs="Times New Roman"/>
          <w:sz w:val="28"/>
          <w:szCs w:val="28"/>
        </w:rPr>
        <w:t xml:space="preserve">Гражданин вправе обратиться с жалобой в письменной форме или в форме электронного документа, а также лично на личном приеме.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40"/>
        <w:szCs w:val="24"/>
      </w:rPr>
      <w:framePr w:w="170" w:wrap="around" w:vAnchor="text" w:hAnchor="margin" w:xAlign="center" w:y="1"/>
    </w:pPr>
    <w:r>
      <w:rPr>
        <w:rStyle w:val="940"/>
        <w:szCs w:val="24"/>
      </w:rPr>
      <w:fldChar w:fldCharType="begin"/>
    </w:r>
    <w:r>
      <w:rPr>
        <w:rStyle w:val="940"/>
        <w:szCs w:val="24"/>
      </w:rPr>
      <w:instrText xml:space="preserve">PAGE  </w:instrText>
    </w:r>
    <w:r>
      <w:rPr>
        <w:rStyle w:val="940"/>
        <w:szCs w:val="24"/>
      </w:rPr>
      <w:fldChar w:fldCharType="separate"/>
    </w:r>
    <w:r>
      <w:rPr>
        <w:rStyle w:val="940"/>
        <w:szCs w:val="24"/>
      </w:rPr>
      <w:fldChar w:fldCharType="end"/>
    </w:r>
    <w:r>
      <w:rPr>
        <w:rStyle w:val="940"/>
        <w:szCs w:val="24"/>
      </w:rPr>
    </w:r>
    <w:r>
      <w:rPr>
        <w:rStyle w:val="940"/>
        <w:szCs w:val="24"/>
      </w:rPr>
    </w:r>
  </w:p>
  <w:p>
    <w:pPr>
      <w:pStyle w:val="9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2137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497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857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3217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3577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37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4297" w:hanging="36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429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1789" w:hanging="36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49" w:hanging="360"/>
      </w:pPr>
    </w:lvl>
    <w:lvl w:ilvl="5">
      <w:start w:val="1"/>
      <w:numFmt w:val="lowerRoman"/>
      <w:isLgl w:val="false"/>
      <w:suff w:val="tab"/>
      <w:lvlText w:val="%6)"/>
      <w:lvlJc w:val="left"/>
      <w:pPr>
        <w:ind w:left="2509" w:hanging="360"/>
      </w:pPr>
    </w:lvl>
    <w:lvl w:ilvl="6">
      <w:start w:val="1"/>
      <w:numFmt w:val="decimal"/>
      <w:isLgl w:val="false"/>
      <w:suff w:val="tab"/>
      <w:lvlText w:val="%7)"/>
      <w:lvlJc w:val="left"/>
      <w:pPr>
        <w:ind w:left="2869" w:hanging="360"/>
      </w:pPr>
    </w:lvl>
    <w:lvl w:ilvl="7">
      <w:start w:val="1"/>
      <w:numFmt w:val="lowerLetter"/>
      <w:isLgl w:val="false"/>
      <w:suff w:val="tab"/>
      <w:lvlText w:val="%8)"/>
      <w:lvlJc w:val="left"/>
      <w:pPr>
        <w:ind w:left="3229" w:hanging="360"/>
      </w:pPr>
    </w:lvl>
    <w:lvl w:ilvl="8">
      <w:start w:val="1"/>
      <w:numFmt w:val="lowerRoman"/>
      <w:isLgl w:val="false"/>
      <w:suff w:val="tab"/>
      <w:lvlText w:val="%9)"/>
      <w:lvlJc w:val="left"/>
      <w:pPr>
        <w:ind w:left="3589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3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5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0)"/>
      <w:lvlJc w:val="left"/>
      <w:pPr>
        <w:ind w:left="155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1)"/>
      <w:lvlJc w:val="left"/>
      <w:pPr>
        <w:ind w:left="155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3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53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3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5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0)"/>
      <w:lvlJc w:val="left"/>
      <w:pPr>
        <w:ind w:left="155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1)"/>
      <w:lvlJc w:val="left"/>
      <w:pPr>
        <w:ind w:left="155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>
    <w:name w:val="Heading 1"/>
    <w:basedOn w:val="929"/>
    <w:next w:val="92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2">
    <w:name w:val="Heading 1 Char"/>
    <w:link w:val="751"/>
    <w:uiPriority w:val="9"/>
    <w:rPr>
      <w:rFonts w:ascii="Arial" w:hAnsi="Arial" w:eastAsia="Arial" w:cs="Arial"/>
      <w:sz w:val="40"/>
      <w:szCs w:val="40"/>
    </w:rPr>
  </w:style>
  <w:style w:type="paragraph" w:styleId="753">
    <w:name w:val="Heading 2"/>
    <w:basedOn w:val="929"/>
    <w:next w:val="929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4">
    <w:name w:val="Heading 2 Char"/>
    <w:link w:val="753"/>
    <w:uiPriority w:val="9"/>
    <w:rPr>
      <w:rFonts w:ascii="Arial" w:hAnsi="Arial" w:eastAsia="Arial" w:cs="Arial"/>
      <w:sz w:val="34"/>
    </w:rPr>
  </w:style>
  <w:style w:type="paragraph" w:styleId="755">
    <w:name w:val="Heading 3"/>
    <w:basedOn w:val="929"/>
    <w:next w:val="929"/>
    <w:link w:val="7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6">
    <w:name w:val="Heading 3 Char"/>
    <w:link w:val="755"/>
    <w:uiPriority w:val="9"/>
    <w:rPr>
      <w:rFonts w:ascii="Arial" w:hAnsi="Arial" w:eastAsia="Arial" w:cs="Arial"/>
      <w:sz w:val="30"/>
      <w:szCs w:val="30"/>
    </w:rPr>
  </w:style>
  <w:style w:type="paragraph" w:styleId="757">
    <w:name w:val="Heading 4"/>
    <w:basedOn w:val="929"/>
    <w:next w:val="929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4 Char"/>
    <w:link w:val="757"/>
    <w:uiPriority w:val="9"/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929"/>
    <w:next w:val="929"/>
    <w:link w:val="7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>
    <w:name w:val="Heading 5 Char"/>
    <w:link w:val="759"/>
    <w:uiPriority w:val="9"/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2">
    <w:name w:val="Heading 6 Char"/>
    <w:link w:val="761"/>
    <w:uiPriority w:val="9"/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7 Char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6">
    <w:name w:val="Heading 8 Char"/>
    <w:link w:val="765"/>
    <w:uiPriority w:val="9"/>
    <w:rPr>
      <w:rFonts w:ascii="Arial" w:hAnsi="Arial" w:eastAsia="Arial" w:cs="Arial"/>
      <w:i/>
      <w:iCs/>
      <w:sz w:val="22"/>
      <w:szCs w:val="22"/>
    </w:rPr>
  </w:style>
  <w:style w:type="paragraph" w:styleId="767">
    <w:name w:val="Heading 9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Heading 9 Char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929"/>
    <w:uiPriority w:val="34"/>
    <w:qFormat/>
    <w:pPr>
      <w:contextualSpacing/>
      <w:ind w:left="720"/>
    </w:pPr>
  </w:style>
  <w:style w:type="paragraph" w:styleId="770">
    <w:name w:val="No Spacing"/>
    <w:uiPriority w:val="1"/>
    <w:qFormat/>
    <w:pPr>
      <w:spacing w:before="0" w:after="0" w:line="240" w:lineRule="auto"/>
    </w:pPr>
  </w:style>
  <w:style w:type="paragraph" w:styleId="771">
    <w:name w:val="Title"/>
    <w:basedOn w:val="929"/>
    <w:next w:val="929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link w:val="771"/>
    <w:uiPriority w:val="10"/>
    <w:rPr>
      <w:sz w:val="48"/>
      <w:szCs w:val="48"/>
    </w:rPr>
  </w:style>
  <w:style w:type="paragraph" w:styleId="773">
    <w:name w:val="Subtitle"/>
    <w:basedOn w:val="929"/>
    <w:next w:val="929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link w:val="773"/>
    <w:uiPriority w:val="11"/>
    <w:rPr>
      <w:sz w:val="24"/>
      <w:szCs w:val="24"/>
    </w:rPr>
  </w:style>
  <w:style w:type="paragraph" w:styleId="775">
    <w:name w:val="Quote"/>
    <w:basedOn w:val="929"/>
    <w:next w:val="929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9"/>
    <w:next w:val="929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paragraph" w:styleId="779">
    <w:name w:val="Header"/>
    <w:basedOn w:val="929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>
    <w:name w:val="Header Char"/>
    <w:link w:val="779"/>
    <w:uiPriority w:val="99"/>
  </w:style>
  <w:style w:type="paragraph" w:styleId="781">
    <w:name w:val="Footer"/>
    <w:basedOn w:val="929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Footer Char"/>
    <w:link w:val="781"/>
    <w:uiPriority w:val="99"/>
  </w:style>
  <w:style w:type="paragraph" w:styleId="783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781"/>
    <w:uiPriority w:val="99"/>
  </w:style>
  <w:style w:type="table" w:styleId="78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1">
    <w:name w:val="Hyperlink"/>
    <w:uiPriority w:val="99"/>
    <w:unhideWhenUsed/>
    <w:rPr>
      <w:color w:val="0000ff" w:themeColor="hyperlink"/>
      <w:u w:val="single"/>
    </w:r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next w:val="929"/>
    <w:link w:val="929"/>
    <w:qFormat/>
    <w:rPr>
      <w:sz w:val="24"/>
      <w:lang w:val="ru-RU" w:eastAsia="ru-RU" w:bidi="ar-SA"/>
    </w:rPr>
  </w:style>
  <w:style w:type="paragraph" w:styleId="930">
    <w:name w:val="Заголовок 1"/>
    <w:basedOn w:val="929"/>
    <w:next w:val="929"/>
    <w:link w:val="92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31">
    <w:name w:val="Заголовок 2"/>
    <w:basedOn w:val="929"/>
    <w:next w:val="929"/>
    <w:link w:val="92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32">
    <w:name w:val="Заголовок 4"/>
    <w:basedOn w:val="929"/>
    <w:next w:val="929"/>
    <w:link w:val="92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933">
    <w:name w:val="Основной шрифт абзаца"/>
    <w:next w:val="933"/>
    <w:link w:val="929"/>
    <w:semiHidden/>
  </w:style>
  <w:style w:type="table" w:styleId="934">
    <w:name w:val="Обычная таблица"/>
    <w:next w:val="934"/>
    <w:link w:val="929"/>
    <w:semiHidden/>
    <w:tblPr/>
  </w:style>
  <w:style w:type="numbering" w:styleId="935">
    <w:name w:val="Нет списка"/>
    <w:next w:val="935"/>
    <w:link w:val="929"/>
    <w:semiHidden/>
  </w:style>
  <w:style w:type="paragraph" w:styleId="936">
    <w:name w:val="Название"/>
    <w:basedOn w:val="929"/>
    <w:next w:val="936"/>
    <w:link w:val="929"/>
    <w:qFormat/>
    <w:pPr>
      <w:jc w:val="center"/>
    </w:pPr>
    <w:rPr>
      <w:b/>
      <w:bCs/>
      <w:sz w:val="28"/>
      <w:szCs w:val="24"/>
    </w:rPr>
  </w:style>
  <w:style w:type="paragraph" w:styleId="937">
    <w:name w:val="Знак"/>
    <w:basedOn w:val="929"/>
    <w:next w:val="937"/>
    <w:link w:val="92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8">
    <w:name w:val="Текст выноски"/>
    <w:basedOn w:val="929"/>
    <w:next w:val="938"/>
    <w:link w:val="929"/>
    <w:semiHidden/>
    <w:rPr>
      <w:rFonts w:ascii="Tahoma" w:hAnsi="Tahoma" w:cs="Tahoma"/>
      <w:sz w:val="16"/>
      <w:szCs w:val="16"/>
    </w:rPr>
  </w:style>
  <w:style w:type="paragraph" w:styleId="939">
    <w:name w:val="Верхний колонтитул"/>
    <w:basedOn w:val="929"/>
    <w:next w:val="939"/>
    <w:link w:val="929"/>
    <w:pPr>
      <w:tabs>
        <w:tab w:val="center" w:pos="4677" w:leader="none"/>
        <w:tab w:val="right" w:pos="9355" w:leader="none"/>
      </w:tabs>
    </w:pPr>
  </w:style>
  <w:style w:type="character" w:styleId="940">
    <w:name w:val="Номер страницы"/>
    <w:basedOn w:val="933"/>
    <w:next w:val="940"/>
    <w:link w:val="929"/>
  </w:style>
  <w:style w:type="paragraph" w:styleId="941">
    <w:name w:val="Нижний колонтитул"/>
    <w:basedOn w:val="929"/>
    <w:next w:val="941"/>
    <w:link w:val="929"/>
    <w:pPr>
      <w:tabs>
        <w:tab w:val="center" w:pos="4677" w:leader="none"/>
        <w:tab w:val="right" w:pos="9355" w:leader="none"/>
      </w:tabs>
    </w:pPr>
  </w:style>
  <w:style w:type="character" w:styleId="942" w:default="1">
    <w:name w:val="Default Paragraph Font"/>
    <w:uiPriority w:val="1"/>
    <w:semiHidden/>
    <w:unhideWhenUsed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  <w:style w:type="paragraph" w:styleId="945" w:customStyle="1">
    <w:name w:val="Без интервала"/>
    <w:next w:val="752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hyperlink" Target="https://giookn.nso.ru;" TargetMode="External"/><Relationship Id="rId14" Type="http://schemas.openxmlformats.org/officeDocument/2006/relationships/hyperlink" Target="mailto:giookn@nso.ru;" TargetMode="External"/><Relationship Id="rId15" Type="http://schemas.openxmlformats.org/officeDocument/2006/relationships/hyperlink" Target="https://www.gosuslugi.ru/" TargetMode="External"/><Relationship Id="rId16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UGOOKN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revision>38</cp:revision>
  <dcterms:created xsi:type="dcterms:W3CDTF">2023-04-10T09:02:00Z</dcterms:created>
  <dcterms:modified xsi:type="dcterms:W3CDTF">2025-03-12T08:50:54Z</dcterms:modified>
  <cp:version>917504</cp:version>
</cp:coreProperties>
</file>