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right"/>
        <w:rPr>
          <w:bCs/>
        </w:rPr>
      </w:pPr>
      <w:r>
        <w:rPr>
          <w:bCs/>
        </w:rPr>
        <w:t xml:space="preserve">Проект постановления </w:t>
      </w:r>
      <w:r>
        <w:rPr>
          <w:bCs/>
        </w:rPr>
      </w:r>
      <w:r>
        <w:rPr>
          <w:bCs/>
        </w:rPr>
      </w:r>
    </w:p>
    <w:p>
      <w:pPr>
        <w:pStyle w:val="871"/>
        <w:jc w:val="right"/>
        <w:rPr>
          <w:bCs/>
        </w:rPr>
      </w:pPr>
      <w:r>
        <w:rPr>
          <w:bCs/>
        </w:rPr>
        <w:t xml:space="preserve">Правительства</w:t>
      </w:r>
      <w:r>
        <w:rPr>
          <w:bCs/>
        </w:rPr>
        <w:t xml:space="preserve"> Новосибирской области</w:t>
      </w:r>
      <w:r>
        <w:rPr>
          <w:bCs/>
        </w:rPr>
      </w:r>
      <w:r>
        <w:rPr>
          <w:bCs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-284" w:righ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left="-284" w:right="-28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15.02.2010 № 46-па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-1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е 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Новоси</w:t>
      </w:r>
      <w:r>
        <w:rPr>
          <w:sz w:val="28"/>
          <w:szCs w:val="28"/>
        </w:rPr>
        <w:t xml:space="preserve">бирской области от 15.02.2010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46-па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установлении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Новосибирска, утверждении их границ, режимов использования земель и требований к градостроительным рег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ламентам в границах данных зон охраны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В пункте 1 цифры «32» заменить цифрами «33»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13 «Режимы использования земел</w:t>
      </w:r>
      <w:r>
        <w:rPr>
          <w:rFonts w:ascii="Times New Roman" w:hAnsi="Times New Roman" w:cs="Times New Roman"/>
          <w:sz w:val="28"/>
          <w:szCs w:val="28"/>
        </w:rPr>
        <w:t xml:space="preserve">ь и требования к градостроительным регламентам в границах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пунктами 26-27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Режим использования земель и земельных участков и требования к градостроительным регламентам в границах территории охранной зоны объекта культурного наследия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1», расположенного по адресу: г.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</w:t>
      </w:r>
      <w:r>
        <w:rPr>
          <w:rFonts w:ascii="Times New Roman" w:hAnsi="Times New Roman" w:cs="Times New Roman"/>
          <w:sz w:val="28"/>
          <w:szCs w:val="28"/>
        </w:rPr>
        <w:t xml:space="preserve">, в пределах координат характерных (поворотных) т</w:t>
      </w:r>
      <w:r>
        <w:rPr>
          <w:rFonts w:ascii="Times New Roman" w:hAnsi="Times New Roman" w:cs="Times New Roman"/>
          <w:sz w:val="28"/>
          <w:szCs w:val="28"/>
        </w:rPr>
        <w:t xml:space="preserve">очек границы охранной зоны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1 – 2 – 3 – 4 – 5 – 6 – 7 – 8 – 9 – 10 – 11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 – 14 – 1 </w:t>
      </w:r>
      <w:r>
        <w:rPr>
          <w:rFonts w:ascii="Times New Roman" w:hAnsi="Times New Roman" w:cs="Times New Roman"/>
          <w:sz w:val="28"/>
          <w:szCs w:val="28"/>
        </w:rPr>
        <w:t xml:space="preserve">(индекс охранной зоны об</w:t>
      </w:r>
      <w:r>
        <w:rPr>
          <w:rFonts w:ascii="Times New Roman" w:hAnsi="Times New Roman" w:cs="Times New Roman"/>
          <w:sz w:val="28"/>
          <w:szCs w:val="28"/>
        </w:rPr>
        <w:t xml:space="preserve">ъекта культурного наследия ОЗ-10</w:t>
      </w: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согласно приложению № 33 к настоящему постановлению: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режим использования земель и земельных участков в границах территории охранной зоны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1», расположенного по адресу: г.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 (далее —</w:t>
      </w:r>
      <w:r>
        <w:rPr>
          <w:rFonts w:ascii="Times New Roman" w:hAnsi="Times New Roman" w:cs="Times New Roman"/>
          <w:sz w:val="28"/>
          <w:szCs w:val="28"/>
        </w:rPr>
        <w:t xml:space="preserve"> объект культурного наследия), в пределах координат характерных (поворотных) т</w:t>
      </w:r>
      <w:r>
        <w:rPr>
          <w:rFonts w:ascii="Times New Roman" w:hAnsi="Times New Roman" w:cs="Times New Roman"/>
          <w:sz w:val="28"/>
          <w:szCs w:val="28"/>
        </w:rPr>
        <w:t xml:space="preserve">очек границы охранной зоны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1 – 2 – 3 – 4 – 5 – 6 – 7 – 8 – 9 – 10 – 11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 – 14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(индекс охранной зоны об</w:t>
      </w:r>
      <w:r>
        <w:rPr>
          <w:rFonts w:ascii="Times New Roman" w:hAnsi="Times New Roman" w:cs="Times New Roman"/>
          <w:sz w:val="28"/>
          <w:szCs w:val="28"/>
        </w:rPr>
        <w:t xml:space="preserve">ъекта культурного наследия ОЗ-10</w:t>
      </w: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согласно приложению № 33 настоящего постановления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а) запрещается: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строительных технологий, оказывающих негативное воздействие на объект культурного наследия и историческую застройку;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 xml:space="preserve">взрыво</w:t>
      </w:r>
      <w:r>
        <w:rPr>
          <w:rFonts w:ascii="Times New Roman" w:hAnsi="Times New Roman" w:cs="Times New Roman"/>
          <w:sz w:val="28"/>
          <w:szCs w:val="28"/>
        </w:rPr>
        <w:t xml:space="preserve">- и пожароопасных объектов, угрожающих сохранности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размещение некапитальных строений, сооружений и объе</w:t>
      </w:r>
      <w:r>
        <w:rPr>
          <w:rFonts w:ascii="Times New Roman" w:hAnsi="Times New Roman" w:cs="Times New Roman"/>
          <w:sz w:val="28"/>
          <w:szCs w:val="28"/>
        </w:rPr>
        <w:t xml:space="preserve">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такое размещение необходимо для обеспечения современного использования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размещение отдельно стоящих рекламных и (или) информационных конструкций, наружной рекламы</w:t>
      </w:r>
      <w:r>
        <w:rPr>
          <w:rFonts w:ascii="Times New Roman" w:hAnsi="Times New Roman" w:cs="Times New Roman"/>
          <w:sz w:val="28"/>
          <w:szCs w:val="28"/>
        </w:rPr>
        <w:t xml:space="preserve"> и вывесок</w:t>
      </w:r>
      <w:r>
        <w:rPr>
          <w:rFonts w:ascii="Times New Roman" w:hAnsi="Times New Roman" w:cs="Times New Roman"/>
          <w:sz w:val="28"/>
          <w:szCs w:val="28"/>
        </w:rPr>
        <w:t xml:space="preserve">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культурного наследия, информацию ориентирования в городской среде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размерами не более 1,0 × 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в целях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безопасности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засорение территории бытовыми и промышленными отходами любого вида и форм, размещение отходов производства и потребления, устройство складов и захоронения ядохимикатов.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осуществляется с учетом сохранения особенносте</w:t>
      </w:r>
      <w:r>
        <w:rPr>
          <w:rFonts w:ascii="Times New Roman" w:hAnsi="Times New Roman" w:cs="Times New Roman"/>
          <w:sz w:val="28"/>
          <w:szCs w:val="28"/>
        </w:rPr>
        <w:t xml:space="preserve">й объекта культурного наследия, послуживших основанием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при условии, что таки</w:t>
      </w:r>
      <w:r>
        <w:rPr>
          <w:rFonts w:ascii="Times New Roman" w:hAnsi="Times New Roman" w:cs="Times New Roman"/>
          <w:sz w:val="28"/>
          <w:szCs w:val="28"/>
        </w:rPr>
        <w:t xml:space="preserve">е работы не оказывают негативного воздействия на объект культурного наследия, или не нарушают характеристики его историко-градостроительной среды, или необходимы для обеспечения его функционирования или обеспечения жизнедеятельности населения, в том числе: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заменой покрытия пешеходных дорожек и тротуаров (твердые покрытия — монолитные или сборные, выполняемые из асфальтобетона, </w:t>
      </w:r>
      <w:r>
        <w:rPr>
          <w:rFonts w:ascii="Times New Roman" w:hAnsi="Times New Roman" w:cs="Times New Roman"/>
          <w:sz w:val="28"/>
          <w:szCs w:val="28"/>
        </w:rPr>
        <w:t xml:space="preserve">цементобетона</w:t>
      </w:r>
      <w:r>
        <w:rPr>
          <w:rFonts w:ascii="Times New Roman" w:hAnsi="Times New Roman" w:cs="Times New Roman"/>
          <w:sz w:val="28"/>
          <w:szCs w:val="28"/>
        </w:rPr>
        <w:t xml:space="preserve">, природного камня и аналогичных материалов);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устройством архитектурного освещения, направленного на создание выразительной визуальной среды объектов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размещением малых архитектурных форм (элемент</w:t>
      </w:r>
      <w:r>
        <w:rPr>
          <w:rFonts w:ascii="Times New Roman" w:hAnsi="Times New Roman" w:cs="Times New Roman"/>
          <w:sz w:val="28"/>
          <w:szCs w:val="28"/>
        </w:rPr>
        <w:t xml:space="preserve">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культурного наследия или нейтральных по отношению к 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заменой зеленых насаждений (деревьев, кустарников, газонов, цветников) перед объект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 с высадкой зеленых насаждений (деревьев) высотой, не превышающей 1,0 метра.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градостроительному регламенту в границах территории охранной зоны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</w:t>
      </w:r>
      <w:r>
        <w:rPr>
          <w:rFonts w:ascii="Times New Roman" w:hAnsi="Times New Roman" w:cs="Times New Roman"/>
          <w:sz w:val="28"/>
          <w:szCs w:val="28"/>
        </w:rPr>
        <w:t xml:space="preserve">, в пределах координат характерных (поворотных) т</w:t>
      </w:r>
      <w:r>
        <w:rPr>
          <w:rFonts w:ascii="Times New Roman" w:hAnsi="Times New Roman" w:cs="Times New Roman"/>
          <w:sz w:val="28"/>
          <w:szCs w:val="28"/>
        </w:rPr>
        <w:t xml:space="preserve">очек границы охранной зоны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1 – 2 – 3 – 4 – 5 – 6 –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8 – 9 – 10 – 11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 – 14 – 1 </w:t>
      </w:r>
      <w:r>
        <w:rPr>
          <w:rFonts w:ascii="Times New Roman" w:hAnsi="Times New Roman" w:cs="Times New Roman"/>
          <w:sz w:val="28"/>
          <w:szCs w:val="28"/>
        </w:rPr>
        <w:t xml:space="preserve">(индекс охранной зоны объекта культурного наследи</w:t>
      </w:r>
      <w:r>
        <w:rPr>
          <w:rFonts w:ascii="Times New Roman" w:hAnsi="Times New Roman" w:cs="Times New Roman"/>
          <w:sz w:val="28"/>
          <w:szCs w:val="28"/>
        </w:rPr>
        <w:t xml:space="preserve">я ОЗ-10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согласно приложению № 33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а) допускаются следующие ви</w:t>
      </w:r>
      <w:r>
        <w:rPr>
          <w:rFonts w:ascii="Times New Roman" w:hAnsi="Times New Roman" w:cs="Times New Roman"/>
          <w:sz w:val="28"/>
          <w:szCs w:val="28"/>
        </w:rPr>
        <w:t xml:space="preserve">ды разрешенного использования земельных участков и объектов капитального строительства, предусмотренные кодами Классификатора видов разрешенного использования земельных участков, утвержденным приказом Федеральной службы государственной регистрации, кадастр</w:t>
      </w:r>
      <w:r>
        <w:rPr>
          <w:rFonts w:ascii="Times New Roman" w:hAnsi="Times New Roman" w:cs="Times New Roman"/>
          <w:sz w:val="28"/>
          <w:szCs w:val="28"/>
        </w:rPr>
        <w:t xml:space="preserve">а и картографии от 10.11.2020 № </w:t>
      </w:r>
      <w:r>
        <w:rPr>
          <w:rFonts w:ascii="Times New Roman" w:hAnsi="Times New Roman" w:cs="Times New Roman"/>
          <w:sz w:val="28"/>
          <w:szCs w:val="28"/>
        </w:rPr>
        <w:t xml:space="preserve">П/0412 </w:t>
      </w:r>
      <w:r>
        <w:rPr>
          <w:rFonts w:ascii="Times New Roman" w:hAnsi="Times New Roman" w:cs="Times New Roman"/>
          <w:sz w:val="28"/>
          <w:szCs w:val="28"/>
        </w:rPr>
        <w:t xml:space="preserve">(ред. № </w:t>
      </w:r>
      <w:r>
        <w:rPr>
          <w:rFonts w:ascii="Times New Roman" w:hAnsi="Times New Roman" w:cs="Times New Roman"/>
          <w:sz w:val="28"/>
          <w:szCs w:val="28"/>
        </w:rPr>
        <w:t xml:space="preserve">7 от 24.12.2024 г.) (далее — Классификатор) в границах территории охранной зоны объекта культурного наследия: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код</w:t>
      </w:r>
      <w:r>
        <w:rPr>
          <w:rFonts w:ascii="Times New Roman" w:hAnsi="Times New Roman" w:cs="Times New Roman"/>
          <w:sz w:val="28"/>
          <w:szCs w:val="28"/>
        </w:rPr>
        <w:t xml:space="preserve"> 3.1.1;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 xml:space="preserve">3.4;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историко-культурная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код</w:t>
      </w:r>
      <w:r>
        <w:rPr>
          <w:rFonts w:ascii="Times New Roman" w:hAnsi="Times New Roman" w:cs="Times New Roman"/>
          <w:sz w:val="28"/>
          <w:szCs w:val="28"/>
        </w:rPr>
        <w:t xml:space="preserve"> 9.3;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земельные участки (территории) общего пользования, код 12.0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предельные (минимальные и (или) максимальные) размеры земельных уч</w:t>
      </w:r>
      <w:r>
        <w:rPr>
          <w:rFonts w:ascii="Times New Roman" w:hAnsi="Times New Roman" w:cs="Times New Roman"/>
          <w:sz w:val="28"/>
          <w:szCs w:val="28"/>
        </w:rPr>
        <w:t xml:space="preserve">астков —</w:t>
      </w:r>
      <w:r>
        <w:rPr>
          <w:rFonts w:ascii="Times New Roman" w:hAnsi="Times New Roman" w:cs="Times New Roman"/>
          <w:sz w:val="28"/>
          <w:szCs w:val="28"/>
        </w:rPr>
        <w:t xml:space="preserve">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земельного участка для объектов капитального строительства — требования не подлежат установлению;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максимальный (минимальный) процент застройки в границах земельного участка для объек</w:t>
      </w:r>
      <w:r>
        <w:rPr>
          <w:rFonts w:ascii="Times New Roman" w:hAnsi="Times New Roman" w:cs="Times New Roman"/>
          <w:sz w:val="28"/>
          <w:szCs w:val="28"/>
        </w:rPr>
        <w:t xml:space="preserve">тов капитального строительства —</w:t>
      </w:r>
      <w:r>
        <w:rPr>
          <w:rFonts w:ascii="Times New Roman" w:hAnsi="Times New Roman" w:cs="Times New Roman"/>
          <w:sz w:val="28"/>
          <w:szCs w:val="28"/>
        </w:rPr>
        <w:t xml:space="preserve">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предельное минимальное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машино-мест</w:t>
      </w:r>
      <w:r>
        <w:rPr>
          <w:rFonts w:ascii="Times New Roman" w:hAnsi="Times New Roman" w:cs="Times New Roman"/>
          <w:sz w:val="28"/>
          <w:szCs w:val="28"/>
        </w:rPr>
        <w:t xml:space="preserve"> для стоянок индивидуальных транспортных средств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предельный максимальный коэффициент плотности застройки земельного участка для объектов капитального строительства — требования не подлежат установлению.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строительство, за исключением применения специальных мер, направленных на сохранен</w:t>
      </w:r>
      <w:r>
        <w:rPr>
          <w:sz w:val="28"/>
          <w:szCs w:val="28"/>
        </w:rPr>
        <w:t xml:space="preserve">ие и восстановление (регенерацию) историко-градостроительной и природной среды объекта культурного наследия (восстановление, воссоздание, восполнение частично или полностью утраченных элементов и характеристик историко-градостроительной и природной среды);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строительство линейных объектов, нарушающих характеристики историко-градостроительной среды, за исключением случаев</w:t>
      </w:r>
      <w:r>
        <w:rPr>
          <w:sz w:val="28"/>
          <w:szCs w:val="28"/>
        </w:rPr>
        <w:t xml:space="preserve">, если такое строительство направлено на минимизацию негативного воздействия на объект культурного наследия и его историко-градостроительную и природную среду, или необходимо для обеспечения его функционирования или обеспечения жизнедеятельности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и реконструкция объектов капитального строительства и иные работы на земельных участках, непосредственно связанных с земельным уч</w:t>
      </w:r>
      <w:r>
        <w:rPr>
          <w:rFonts w:ascii="Times New Roman" w:hAnsi="Times New Roman" w:cs="Times New Roman"/>
          <w:sz w:val="28"/>
          <w:szCs w:val="28"/>
        </w:rPr>
        <w:t xml:space="preserve">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</w:t>
      </w:r>
      <w:r>
        <w:rPr>
          <w:rFonts w:ascii="Times New Roman" w:hAnsi="Times New Roman" w:cs="Times New Roman"/>
          <w:sz w:val="28"/>
          <w:szCs w:val="28"/>
        </w:rPr>
        <w:t xml:space="preserve">б обеспечении сохранности указанного объекта культурного наследия в проектах проведения таких работ или проектов обеспечения сохранности объекта культурного наследия, включающих оценку воздействия проводимых работ на указанный объект 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случае строительства подземных сооружений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Режим использования земель и земельных участков и требования к градостроительным регламентам в границах территории зоны регулирования застройки и хозяйственной деятельности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</w:rPr>
        <w:t xml:space="preserve">«Больница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г. 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 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</w:t>
      </w:r>
      <w:r>
        <w:rPr>
          <w:rFonts w:ascii="Times New Roman" w:hAnsi="Times New Roman" w:cs="Times New Roman"/>
          <w:sz w:val="28"/>
          <w:szCs w:val="28"/>
        </w:rPr>
        <w:t xml:space="preserve">, в пределах координат характерных (поворотных) точек границы зоны регулирования застройки и</w:t>
      </w:r>
      <w:r>
        <w:rPr>
          <w:rFonts w:ascii="Times New Roman" w:hAnsi="Times New Roman" w:cs="Times New Roman"/>
          <w:sz w:val="28"/>
          <w:szCs w:val="28"/>
        </w:rPr>
        <w:t xml:space="preserve">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1 – 2 – 3 – 4 – 5 – 6 –7 –8 –9 – 10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(индекс зоны регулирования застройки и хозяйственной деятельности объе</w:t>
      </w:r>
      <w:r>
        <w:rPr>
          <w:rFonts w:ascii="Times New Roman" w:hAnsi="Times New Roman" w:cs="Times New Roman"/>
          <w:sz w:val="28"/>
          <w:szCs w:val="28"/>
        </w:rPr>
        <w:t xml:space="preserve">кта культурного наследия ЗРЗ 103-1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согласно приложению № 33 к настоящему постановлению: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/>
    </w:p>
    <w:p>
      <w:pPr>
        <w:ind w:firstLine="720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ежим использования земель и земельных участков в границах территории зоны регулирования застройки и хозяйственной деятельности объекта культурного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наследия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», расположенного по адресу: г. Новосибирск,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40 к.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— объект культурного наследия), в пределах координат характерных (поворотных) точек границы зоны регулирования застройк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и хозяйственной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объекта культурного наследия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– 2 – 3 – 4 – 5 – 6 –7 –8 –9 – 10 –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(индекс зоны регулирования застройки и хозяйственной деятельност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объекта культурного наследия ЗРЗ 103-1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согласно приложению № 33 настоящего постановления:</w:t>
      </w:r>
      <w:r>
        <w:rPr>
          <w:rFonts w:ascii="Times New Roman" w:hAnsi="Times New Roman" w:cs="Times New Roman"/>
          <w:color w:val="4f81bd" w:themeColor="accen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запрещается: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использование строительных технологий, оказывающих негативное воздействие на объект культурного наследия и историческую застройку;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взрыво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и пожароопасных объектов, угрожающих сохранности объекта культурного наследия;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земляных, строительных, мелиоративных, хозяйственных работ, создающих угрозу для сохранности объекта культурного наследия;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размещение некапитальных строений, сооружений и объе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такое размещение необходимо для обеспечения современного использования объекта культурного наследия;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размещение отдельно стоящих рекламных и (или) информационных конструкций, наружной рекламы и вывесок на фасадах и крышах зданий, строений, сооружений, нарушающих характеристики историко-градостроительной среды,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 исключением информационных конструкций, содержащих информацию о популяризации и использовании объектов культурного наследия, информацию ориентирования в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ородской среде — размерами не более 1,0 × 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в целях обеспечения безопасности граждан;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размещение базовых станций сотовой связи, башенных и антенно-мачтовых конструкций, включая телевизионные и радиоантенны, которые препятствуют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визуальному восприятию объекта культурного наследия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 историко-градостроительной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засорение территории бытовыми и промышленными отходами любого вида и форм, размещение отходов производства и потребления, устройство складов и захоронения ядохимикатов.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разрешается разборка дисгармоничных объектов исторической среды, нейт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ральных объектов при отсутствии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их историко-культурной ценности и /или по факту их аварийного /неудовлетворительного технического состояния.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благоустройство и озеленение территории осуществляется с учетом сохранения особенностей объект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культурного наследия, послуживших основанием для включения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историко-градостроительной и природной среды, в том числе всех исторически ценных градоформирующих объектов.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color w:val="4f81bd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 Требования к градостроительному регламенту в границах территории зоны регулирования застройки и хозяйственной деятельности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</w:rPr>
        <w:t xml:space="preserve">«Больница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г. 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 (далее —</w:t>
      </w:r>
      <w:r>
        <w:rPr>
          <w:rFonts w:ascii="Times New Roman" w:hAnsi="Times New Roman" w:cs="Times New Roman"/>
          <w:sz w:val="28"/>
          <w:szCs w:val="28"/>
        </w:rPr>
        <w:t xml:space="preserve"> объект культурного наследия), в пределах координат характерных (поворотных) точек границы зоны регулирования застройки и</w:t>
      </w:r>
      <w:r>
        <w:rPr>
          <w:rFonts w:ascii="Times New Roman" w:hAnsi="Times New Roman" w:cs="Times New Roman"/>
          <w:sz w:val="28"/>
          <w:szCs w:val="28"/>
        </w:rPr>
        <w:t xml:space="preserve">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1 – 2 – 3 – 4 – 5 – 6 –7 –8 –9 – 10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(индекс зоны регулирования застройки и хозяйственной деятельности объе</w:t>
      </w:r>
      <w:r>
        <w:rPr>
          <w:rFonts w:ascii="Times New Roman" w:hAnsi="Times New Roman" w:cs="Times New Roman"/>
          <w:sz w:val="28"/>
          <w:szCs w:val="28"/>
        </w:rPr>
        <w:t xml:space="preserve">кта культурного наследия ЗРЗ 103-1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согласно приложению № к 33 настоящему постановлению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а) допускаются следующие виды разрешенного использования земельных участков и объектов капитального строительства, предусмотренные кодами Классификатора видов разрешенного использования земельных участков</w:t>
      </w:r>
      <w:r>
        <w:rPr>
          <w:sz w:val="28"/>
          <w:szCs w:val="28"/>
        </w:rPr>
        <w:t xml:space="preserve">, утвержденным приказом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от 10.11.2020 № П/0412 (ред. № 7 от 24.12.2024 г.) (далее — Классификатор) в границах территории зоны регулирования застройки и хозяйственной деятельности объекта культурного наследия: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код</w:t>
      </w:r>
      <w:r>
        <w:rPr>
          <w:rFonts w:ascii="Times New Roman" w:hAnsi="Times New Roman" w:cs="Times New Roman"/>
          <w:sz w:val="28"/>
          <w:szCs w:val="28"/>
        </w:rPr>
        <w:t xml:space="preserve"> 3.1.1;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, код</w:t>
      </w:r>
      <w:r>
        <w:rPr>
          <w:rFonts w:ascii="Times New Roman" w:hAnsi="Times New Roman" w:cs="Times New Roman"/>
          <w:sz w:val="28"/>
          <w:szCs w:val="28"/>
        </w:rPr>
        <w:t xml:space="preserve"> 3.4;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историко-культурная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код</w:t>
      </w:r>
      <w:r>
        <w:rPr>
          <w:rFonts w:ascii="Times New Roman" w:hAnsi="Times New Roman" w:cs="Times New Roman"/>
          <w:sz w:val="28"/>
          <w:szCs w:val="28"/>
        </w:rPr>
        <w:t xml:space="preserve"> 9.3;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земельные участки (территории) общего пользования, код 12.0.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предельным (минимальным и (ил</w:t>
      </w:r>
      <w:r>
        <w:rPr>
          <w:rFonts w:ascii="Times New Roman" w:hAnsi="Times New Roman" w:cs="Times New Roman"/>
          <w:sz w:val="28"/>
          <w:szCs w:val="28"/>
        </w:rPr>
        <w:t xml:space="preserve">и) максимальным) размерам земельных участков и предельным параметрам разрешенного строительства, реконструкции объектов капитального строительства в границах территории зоны регулирования застройки и хозяйственной деятельности объекта культурного наследия: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предельные (минимальные и (или) максимальные) размеры земельных участков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минимальный отступ от границ земельного участка для объектов капитального строительства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максимальный (минимальный) процент застройки в границах земельного участка для объектов капитального строительства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предельное минимальное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машино-мест</w:t>
      </w:r>
      <w:r>
        <w:rPr>
          <w:rFonts w:ascii="Times New Roman" w:hAnsi="Times New Roman" w:cs="Times New Roman"/>
          <w:sz w:val="28"/>
          <w:szCs w:val="28"/>
        </w:rPr>
        <w:t xml:space="preserve"> для стоянок индивидуальных транспортных средств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предельный максимальный коэффициент плотности застройки земельного участка для объектов капитального строительства — требования не подлежат установлению;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предельная максимальная высота объектов капитального строительства, реконструкции объектов капитально</w:t>
      </w:r>
      <w:r>
        <w:rPr>
          <w:rFonts w:ascii="Times New Roman" w:hAnsi="Times New Roman" w:cs="Times New Roman"/>
          <w:sz w:val="28"/>
          <w:szCs w:val="28"/>
        </w:rPr>
        <w:t xml:space="preserve">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,0 метр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в) требования к архитектурно-градостроительному облику объекта капитального строительства: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требования к объемно-пространственным характеристикам объекта капитального строительства: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сохраняется принцип формирования фронта застройки — </w:t>
      </w:r>
      <w:r>
        <w:rPr>
          <w:sz w:val="28"/>
          <w:szCs w:val="28"/>
        </w:rPr>
        <w:t xml:space="preserve">периметральная</w:t>
      </w:r>
      <w:r>
        <w:rPr>
          <w:sz w:val="28"/>
          <w:szCs w:val="28"/>
        </w:rPr>
        <w:t xml:space="preserve"> застройка с разрывами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красным линиям, обозначающим границы улично-дорожной сети, или по сложившимся линиям застройки вдоль улично-дорожной сети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принцип формирования внутриквартальной застройки — фоновый по отношению к объекту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допускается выступ не более чем на 2,5 метра крылец, навесов, эркеров, балконов, террас, приямков из плоскости наружной стены фасада объекта капитального строительства, обращенного к</w:t>
      </w:r>
      <w:r>
        <w:rPr>
          <w:sz w:val="28"/>
          <w:szCs w:val="28"/>
        </w:rPr>
        <w:t xml:space="preserve"> территориям общего пользования;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уровень отметки пола входов в объекты капитального строительства на фасадах, расположенных на расстоянии до 30 метров от красной линии и обращенных к территориям общего пользования, может превышать отметку уровня земли не более чем на 0,45 метра;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высота помещений первых этажей объектов капитального строительства, предназначенных для общественного использования или предпринимательства, обращенных к территориям общего пользования, должна быть не менее 3,5 метра.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Требования к архитектурно-стилистическим характеристикам объекта капитального строительства: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фасады первых этажей объектов капитального строительства, расположенные на расстоянии до 30 метров от красной линии и обращенные к территориям общего пользования, должны иметь площадь остекления не менее 30%;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входные группы в жилые и общественные помещения (кроме вспомогательных и авари</w:t>
      </w:r>
      <w:r>
        <w:rPr>
          <w:sz w:val="28"/>
          <w:szCs w:val="28"/>
        </w:rPr>
        <w:t xml:space="preserve">йных входов и выходов) должны иметь площадь остекления не менее 30%,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устройство внешних тамбуров входных групп на фасадах, расположенных на расстоянии до 30 метров от красной линии и обращенных к территориям общего пользования,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цветовым решениям объектов капитального строительства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 применением цветового решения, нейтрального к объект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культурного наследия (цвет из цветовой палитры отделки фасадов объект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культурного наследия).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Требования к отделочным и</w:t>
      </w:r>
      <w:r>
        <w:rPr>
          <w:sz w:val="28"/>
          <w:szCs w:val="28"/>
          <w:highlight w:val="white"/>
        </w:rPr>
        <w:t xml:space="preserve"> строительным материалам, определяющие архитектурный облик объектов капитального строительства: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 применением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стекла, плитные материалы, имитирующие штукатурку;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кровля — скатная метал</w:t>
      </w:r>
      <w:r>
        <w:rPr>
          <w:sz w:val="28"/>
          <w:szCs w:val="28"/>
          <w:highlight w:val="white"/>
        </w:rPr>
        <w:t xml:space="preserve">лическая, плоская мягкая кровля.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Не допускается использование при отделке фасадов </w:t>
      </w:r>
      <w:r>
        <w:rPr>
          <w:sz w:val="28"/>
          <w:szCs w:val="28"/>
          <w:highlight w:val="white"/>
        </w:rPr>
        <w:t xml:space="preserve">сайдинга</w:t>
      </w:r>
      <w:r>
        <w:rPr>
          <w:sz w:val="28"/>
          <w:szCs w:val="28"/>
          <w:highlight w:val="white"/>
        </w:rPr>
        <w:t xml:space="preserve"> (металлических или пластиковых панелей,</w:t>
      </w:r>
      <w:r>
        <w:rPr>
          <w:sz w:val="28"/>
          <w:szCs w:val="28"/>
          <w:highlight w:val="white"/>
        </w:rPr>
        <w:t xml:space="preserve"> имитирующих деревянную обшивку</w:t>
      </w:r>
      <w:r>
        <w:rPr>
          <w:sz w:val="28"/>
          <w:szCs w:val="28"/>
          <w:highlight w:val="white"/>
        </w:rPr>
        <w:t xml:space="preserve">), профилированного ме</w:t>
      </w:r>
      <w:r>
        <w:rPr>
          <w:sz w:val="28"/>
          <w:szCs w:val="28"/>
          <w:highlight w:val="white"/>
        </w:rPr>
        <w:t xml:space="preserve">таллического листа (</w:t>
      </w:r>
      <w:r>
        <w:rPr>
          <w:sz w:val="28"/>
          <w:szCs w:val="28"/>
          <w:highlight w:val="white"/>
        </w:rPr>
        <w:t xml:space="preserve">профнастила</w:t>
      </w:r>
      <w:r>
        <w:rPr>
          <w:sz w:val="28"/>
          <w:szCs w:val="28"/>
          <w:highlight w:val="white"/>
        </w:rPr>
        <w:t xml:space="preserve">), асбестоцементных листов.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Не допускается применение керамического гранита, композитных панелей при реконструкции фасадов зданий, построенных до 1959 года включительно.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Требования к размещению технического и инженерного оборудования на фасадах и кровлях объектов капитального строительства: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размещен</w:t>
      </w:r>
      <w:r>
        <w:rPr>
          <w:sz w:val="28"/>
          <w:szCs w:val="28"/>
          <w:highlight w:val="white"/>
        </w:rPr>
        <w:t xml:space="preserve">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</w:t>
      </w:r>
      <w:r>
        <w:rPr>
          <w:sz w:val="28"/>
          <w:szCs w:val="28"/>
          <w:highlight w:val="white"/>
        </w:rPr>
        <w:t xml:space="preserve">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подсветке фасадов объектов капитального строительства: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фасады объектов капитального строительства, обращенные к территориям общего пользования, оборудуются архитектурным освещением;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архитектурное освещение фасадов не должно приводить к нарушению восприятия пропорций и иных визуальных хара</w:t>
      </w:r>
      <w:r>
        <w:rPr>
          <w:sz w:val="28"/>
          <w:szCs w:val="28"/>
        </w:rPr>
        <w:t xml:space="preserve">ктеристик объекта капитального строительства,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</w:t>
      </w:r>
      <w:r>
        <w:rPr>
          <w:sz w:val="28"/>
          <w:szCs w:val="28"/>
        </w:rPr>
        <w:t xml:space="preserve">ь участников дорожного движения.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4f81bd" w:themeColor="text1"/>
          <w:sz w:val="28"/>
          <w:szCs w:val="28"/>
        </w:rPr>
        <w:suppressLineNumbers w:val="0"/>
      </w:pPr>
      <w:r>
        <w:rPr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</w:t>
      </w:r>
      <w:r>
        <w:rPr>
          <w:rFonts w:ascii="Times New Roman" w:hAnsi="Times New Roman" w:cs="Times New Roman"/>
          <w:sz w:val="28"/>
          <w:szCs w:val="28"/>
        </w:rPr>
        <w:t xml:space="preserve">х, нарушающих характеристики историко-градостроительной среды или препятствующих её сохранению и (или) восстановлению,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 линейных объектов, нарушающих характеристики историко-градостроительной среды, за исключе</w:t>
      </w:r>
      <w:r>
        <w:rPr>
          <w:rFonts w:ascii="Times New Roman" w:hAnsi="Times New Roman" w:cs="Times New Roman"/>
          <w:sz w:val="28"/>
          <w:szCs w:val="28"/>
        </w:rPr>
        <w:t xml:space="preserve">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среду, или необходимо для обеспечения его функционирования или обеспечения жизнедеятельности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подземных сооружений при наличии инженерных исследований, подтверждающих отсутствие негативного воздействия на объект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и реконструкция объектов капитального строительства и иные работы на земельных участках, непосредственно связанных с земельным уч</w:t>
      </w:r>
      <w:r>
        <w:rPr>
          <w:rFonts w:ascii="Times New Roman" w:hAnsi="Times New Roman" w:cs="Times New Roman"/>
          <w:sz w:val="28"/>
          <w:szCs w:val="28"/>
        </w:rPr>
        <w:t xml:space="preserve">астком в границах территории объекта культурного наследия, проводятся при условии реализации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</w:t>
      </w:r>
      <w:r>
        <w:rPr>
          <w:rFonts w:ascii="Times New Roman" w:hAnsi="Times New Roman" w:cs="Times New Roman"/>
          <w:sz w:val="28"/>
          <w:szCs w:val="28"/>
        </w:rPr>
        <w:t xml:space="preserve">б обеспечении сохранности указанного объекта культурного наследия в проектах проведения таких работ или проектов обеспечения сохранности объекта культурного наследия, включающих оценку воздействия проводимых работ на указанный объект 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случае строительства подземных сооружений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 проводимых работ на объект культурного наследия.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»</w:t>
      </w:r>
      <w:r/>
      <w:r/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 Дополнить приложением № 33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границах зон охраны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1», расположенного по адресу: г.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согласно приложению к настоящему постановлению</w:t>
      </w:r>
      <w: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 В Перечне объектов культурного наследия (памятников истории и культуры) народов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расположенных на территории города Новосибирска, в границах единых охранных зон № ЕОЗ-1, № ЕОЗ-65, охранных зон объектов культурного наследия № 1–48, 50–64, 66–76, 78–83, 84–89, 90, 91–96: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наименовании цифры «91–96» заменить цифрами «91–97»;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дополнить позицией «Охранная зона объекта культурного наследия № 97»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20"/>
        <w:tblW w:w="9497" w:type="dxa"/>
        <w:tblInd w:w="137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1"/>
        <w:gridCol w:w="2042"/>
        <w:gridCol w:w="1559"/>
        <w:gridCol w:w="1843"/>
        <w:gridCol w:w="709"/>
        <w:gridCol w:w="2774"/>
      </w:tblGrid>
      <w:tr>
        <w:trPr/>
        <w:tc>
          <w:tcPr>
            <w:gridSpan w:val="6"/>
            <w:tcW w:w="9497" w:type="dxa"/>
            <w:vAlign w:val="bottom"/>
            <w:textDirection w:val="lrTb"/>
            <w:noWrap w:val="false"/>
          </w:tcPr>
          <w:p>
            <w:pPr>
              <w:ind w:left="34" w:right="34"/>
              <w:rPr>
                <w:color w:val="000000" w:themeColor="text1"/>
                <w:sz w:val="24"/>
                <w:szCs w:val="24"/>
              </w:rPr>
              <w:pBdr>
                <w:right w:val="single" w:color="000000" w:sz="4" w:space="3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Охранная зона объекта культурного наследия № 97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0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Больница заразная (инфекционная). Корпус 1»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1912 г.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Шамшиных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40 к. 1 (Центральный район)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7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постановление Правительства</w:t>
            </w:r>
            <w:r>
              <w:rPr>
                <w:color w:val="000000" w:themeColor="text1"/>
                <w:sz w:val="28"/>
                <w:szCs w:val="28"/>
              </w:rPr>
              <w:t xml:space="preserve"> Новосибирской области от 06.10.2010 № 164-п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90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4"/>
        <w:ind w:right="-2"/>
        <w:jc w:val="left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2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Style w:val="864"/>
        <w:rPr>
          <w:sz w:val="20"/>
          <w:szCs w:val="20"/>
          <w:highlight w:val="none"/>
        </w:rPr>
      </w:pPr>
      <w:r>
        <w:rPr>
          <w:sz w:val="20"/>
        </w:rPr>
        <w:t xml:space="preserve">Е.В. Макавчик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4"/>
        <w:rPr>
          <w:sz w:val="20"/>
          <w:szCs w:val="20"/>
          <w:highlight w:val="none"/>
        </w:rPr>
      </w:pPr>
      <w:r>
        <w:rPr>
          <w:sz w:val="20"/>
        </w:rPr>
        <w:t xml:space="preserve">228 63 59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44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rFonts w:ascii="Times New Roman" w:hAnsi="Times New Roman" w:eastAsia="Times New Roman"/>
      <w:sz w:val="24"/>
      <w:lang w:val="ru-RU" w:eastAsia="ru-RU" w:bidi="ar-SA"/>
    </w:rPr>
  </w:style>
  <w:style w:type="paragraph" w:styleId="865">
    <w:name w:val="Заголовок 1"/>
    <w:basedOn w:val="864"/>
    <w:next w:val="864"/>
    <w:link w:val="87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6">
    <w:name w:val="Заголовок 2"/>
    <w:basedOn w:val="864"/>
    <w:next w:val="864"/>
    <w:link w:val="88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7">
    <w:name w:val="Основной шрифт абзаца"/>
    <w:next w:val="867"/>
    <w:link w:val="864"/>
    <w:uiPriority w:val="1"/>
    <w:semiHidden/>
    <w:unhideWhenUsed/>
  </w:style>
  <w:style w:type="table" w:styleId="868">
    <w:name w:val="Обычная таблица"/>
    <w:next w:val="868"/>
    <w:link w:val="864"/>
    <w:uiPriority w:val="99"/>
    <w:semiHidden/>
    <w:unhideWhenUsed/>
    <w:qFormat/>
    <w:tblPr/>
  </w:style>
  <w:style w:type="numbering" w:styleId="869">
    <w:name w:val="Нет списка"/>
    <w:next w:val="869"/>
    <w:link w:val="864"/>
    <w:uiPriority w:val="99"/>
    <w:semiHidden/>
    <w:unhideWhenUsed/>
  </w:style>
  <w:style w:type="character" w:styleId="870">
    <w:name w:val="Заголовок 1 Знак"/>
    <w:next w:val="870"/>
    <w:link w:val="865"/>
    <w:uiPriority w:val="9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871">
    <w:name w:val="Основной текст"/>
    <w:basedOn w:val="864"/>
    <w:next w:val="871"/>
    <w:link w:val="872"/>
    <w:uiPriority w:val="99"/>
    <w:pPr>
      <w:jc w:val="both"/>
    </w:pPr>
    <w:rPr>
      <w:sz w:val="28"/>
      <w:szCs w:val="28"/>
    </w:rPr>
  </w:style>
  <w:style w:type="character" w:styleId="872">
    <w:name w:val="Основной текст Знак"/>
    <w:next w:val="872"/>
    <w:link w:val="87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3">
    <w:name w:val="Сетка таблицы"/>
    <w:basedOn w:val="868"/>
    <w:next w:val="873"/>
    <w:link w:val="864"/>
    <w:uiPriority w:val="59"/>
    <w:pPr>
      <w:spacing w:after="0" w:line="240" w:lineRule="auto"/>
    </w:pPr>
    <w:tblPr/>
  </w:style>
  <w:style w:type="paragraph" w:styleId="874">
    <w:name w:val="Верхний колонтитул"/>
    <w:basedOn w:val="864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next w:val="875"/>
    <w:link w:val="874"/>
    <w:uiPriority w:val="99"/>
    <w:rPr>
      <w:rFonts w:ascii="Times New Roman" w:hAnsi="Times New Roman" w:eastAsia="Times New Roman"/>
      <w:sz w:val="24"/>
    </w:rPr>
  </w:style>
  <w:style w:type="paragraph" w:styleId="876">
    <w:name w:val="Нижний колонтитул"/>
    <w:basedOn w:val="864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  <w:rPr>
      <w:rFonts w:ascii="Times New Roman" w:hAnsi="Times New Roman" w:eastAsia="Times New Roman"/>
      <w:sz w:val="24"/>
    </w:rPr>
  </w:style>
  <w:style w:type="paragraph" w:styleId="878">
    <w:name w:val="Текст выноски"/>
    <w:basedOn w:val="864"/>
    <w:next w:val="878"/>
    <w:link w:val="879"/>
    <w:uiPriority w:val="99"/>
    <w:semiHidden/>
    <w:unhideWhenUsed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80">
    <w:name w:val="Гипертекстовая ссылка"/>
    <w:next w:val="880"/>
    <w:link w:val="864"/>
    <w:uiPriority w:val="99"/>
    <w:rPr>
      <w:color w:val="106bbe"/>
    </w:rPr>
  </w:style>
  <w:style w:type="character" w:styleId="881">
    <w:name w:val="Гиперссылка"/>
    <w:next w:val="881"/>
    <w:link w:val="864"/>
    <w:uiPriority w:val="99"/>
    <w:unhideWhenUsed/>
    <w:rPr>
      <w:color w:val="0000ff"/>
      <w:u w:val="single"/>
    </w:rPr>
  </w:style>
  <w:style w:type="paragraph" w:styleId="882">
    <w:name w:val="Прижатый влево"/>
    <w:basedOn w:val="864"/>
    <w:next w:val="864"/>
    <w:link w:val="864"/>
    <w:uiPriority w:val="99"/>
    <w:rPr>
      <w:rFonts w:ascii="Arial" w:hAnsi="Arial" w:eastAsia="Calibri" w:cs="Arial"/>
      <w:szCs w:val="24"/>
    </w:rPr>
  </w:style>
  <w:style w:type="character" w:styleId="883">
    <w:name w:val="Заголовок 2 Знак"/>
    <w:next w:val="883"/>
    <w:link w:val="86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revision>13</cp:revision>
  <dcterms:created xsi:type="dcterms:W3CDTF">2023-10-02T07:35:00Z</dcterms:created>
  <dcterms:modified xsi:type="dcterms:W3CDTF">2025-10-01T10:56:46Z</dcterms:modified>
  <cp:version>1048576</cp:version>
</cp:coreProperties>
</file>