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 xml:space="preserve">проекту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Новосибирской области от 29.11.2024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230»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  <w:suppressLineNumbers w:val="0"/>
      </w:pPr>
      <w:r>
        <w:rPr>
          <w:rFonts w:ascii="Times New Roman" w:hAnsi="Times New Roman" w:cs="Times New Roman"/>
          <w:sz w:val="28"/>
          <w:szCs w:val="26"/>
        </w:rPr>
        <w:t xml:space="preserve">Проект постановления Правительства Новосибирской области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изменения </w:t>
      </w:r>
      <w:r>
        <w:rPr>
          <w:rFonts w:ascii="Times New Roman" w:hAnsi="Times New Roman" w:cs="Times New Roman"/>
          <w:sz w:val="28"/>
          <w:szCs w:val="28"/>
        </w:rPr>
        <w:t xml:space="preserve">в постановление Губернатора Новосибирской области от 29.11.2024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230</w:t>
      </w:r>
      <w:r>
        <w:rPr>
          <w:rFonts w:ascii="Times New Roman" w:hAnsi="Times New Roman" w:cs="Times New Roman"/>
          <w:sz w:val="28"/>
          <w:szCs w:val="26"/>
        </w:rPr>
        <w:t xml:space="preserve">» (далее – проект постановления) разработан в целях приведения в соответствие с действующим законодательством, с учетом </w:t>
      </w:r>
      <w:r>
        <w:rPr>
          <w:rFonts w:ascii="Times New Roman" w:hAnsi="Times New Roman" w:cs="Times New Roman"/>
          <w:sz w:val="28"/>
          <w:szCs w:val="26"/>
        </w:rPr>
        <w:t xml:space="preserve">письма начальника отдела по профилактике коррупционных и иных правонарушений администрации Губернатора Новосибирской области и правительства Новосибирской области от 20.01.2025 №</w:t>
      </w:r>
      <w:r>
        <w:rPr>
          <w:rFonts w:ascii="Times New Roman" w:hAnsi="Times New Roman" w:cs="Times New Roman"/>
          <w:sz w:val="28"/>
          <w:szCs w:val="26"/>
        </w:rPr>
        <w:t xml:space="preserve">20/34-Вн</w:t>
      </w:r>
      <w:r>
        <w:rPr>
          <w:rFonts w:ascii="Times New Roman" w:hAnsi="Times New Roman" w:cs="Times New Roman"/>
          <w:sz w:val="28"/>
          <w:szCs w:val="26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36"/>
        <w:ind w:firstLine="709"/>
        <w:jc w:val="both"/>
        <w:rPr>
          <w:rFonts w:ascii="Times New Roman" w:hAnsi="Times New Roman" w:cs="Times New Roman"/>
          <w:szCs w:val="28"/>
        </w:rPr>
        <w:suppressLineNumbers w:val="0"/>
      </w:pPr>
      <w:r>
        <w:rPr>
          <w:rFonts w:ascii="Times New Roman" w:hAnsi="Times New Roman" w:cs="Times New Roman"/>
          <w:sz w:val="28"/>
          <w:szCs w:val="26"/>
          <w:highlight w:val="none"/>
        </w:rPr>
        <w:t xml:space="preserve">Проектом постановления предлагается внести изменения в состав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лицензионной комиссии для обеспечения деятельности государственной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жилищной инспекции Новосибирской области по лицензированию деятельности по</w:t>
      </w:r>
      <w: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управлению многоквартирными домами в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, а именно заменить </w:t>
      </w:r>
      <w:r>
        <w:rPr>
          <w:rFonts w:ascii="Times New Roman" w:hAnsi="Times New Roman" w:cs="Times New Roman"/>
          <w:sz w:val="28"/>
          <w:szCs w:val="26"/>
        </w:rPr>
        <w:t xml:space="preserve">отдел по профилактике коррупционных и иных правонарушений администрации Губернатора Новосибирской области и Правительства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на представителя подразделения по профилактике коррупционных и иных правонарушений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государственной </w:t>
      </w:r>
      <w:r>
        <w:rPr>
          <w:rFonts w:ascii="Times New Roman" w:hAnsi="Times New Roman" w:cs="Times New Roman"/>
          <w:sz w:val="28"/>
          <w:szCs w:val="26"/>
          <w:highlight w:val="none"/>
        </w:rPr>
        <w:t xml:space="preserve">жилищной инспекции Новосибирской области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в целях приведения в 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постановления Губернатора Новосибирской области от 29.11.2024 №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230</w:t>
      </w:r>
      <w:r>
        <w:rPr>
          <w:rFonts w:ascii="Times New Roman" w:hAnsi="Times New Roman" w:eastAsia="Times New Roman" w:cs="Times New Roman"/>
          <w:sz w:val="28"/>
          <w:szCs w:val="28"/>
          <w:highlight w:val="none"/>
        </w:rPr>
        <w:t xml:space="preserve"> с приказом Минстроя России от 17.08.2016 №570/пр.</w:t>
      </w:r>
      <w:r>
        <w:rPr>
          <w:rFonts w:ascii="Times New Roman" w:hAnsi="Times New Roman" w:cs="Times New Roman"/>
          <w:szCs w:val="28"/>
        </w:rPr>
      </w:r>
      <w:r>
        <w:rPr>
          <w:rFonts w:ascii="Times New Roman" w:hAnsi="Times New Roman" w:cs="Times New Roman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Реализация положений проекта постановления не повлечет негативных социально-экономических, финансовых и иных последствий.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afterAutospacing="0" w:line="240" w:lineRule="auto"/>
        <w:rPr>
          <w:rFonts w:ascii="Times New Roman" w:hAnsi="Times New Roman" w:eastAsia="Times New Roman" w:cs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Участие в лицензионной комисси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и будет осуществляться в пределах установленной предельной численности работников областного исполнительного органа государственной власти Новосибирской области, уполномоченного на осуществление регионального лицензионного контроля за осуществлени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ем предпринимательской деятельности по управлению многоквартирными домами на территории Новосибирской области,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не потребует дополнительных средств из областного бюджета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3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pStyle w:val="833"/>
        <w:jc w:val="both"/>
        <w:rPr>
          <w:rFonts w:ascii="Times New Roman" w:hAnsi="Times New Roman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Н</w:t>
      </w:r>
      <w:r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инспекции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А.И. Полищук</w:t>
      </w: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spacing w:after="0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  <w:highlight w:val="none"/>
        </w:rPr>
      </w:pPr>
      <w:r>
        <w:rPr>
          <w:rFonts w:ascii="Times New Roman" w:hAnsi="Times New Roman" w:cs="Times New Roman"/>
          <w:sz w:val="20"/>
          <w:szCs w:val="20"/>
        </w:rPr>
        <w:t xml:space="preserve">Луценко К.Е.</w:t>
      </w:r>
      <w:r>
        <w:rPr>
          <w:rFonts w:ascii="Times New Roman" w:hAnsi="Times New Roman" w:cs="Times New Roman"/>
          <w:sz w:val="20"/>
          <w:szCs w:val="20"/>
          <w:highlight w:val="none"/>
        </w:rPr>
      </w:r>
      <w:r>
        <w:rPr>
          <w:rFonts w:ascii="Times New Roman" w:hAnsi="Times New Roman" w:cs="Times New Roman"/>
          <w:sz w:val="20"/>
          <w:szCs w:val="20"/>
          <w:highlight w:val="none"/>
        </w:rPr>
      </w:r>
    </w:p>
    <w:p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203-51-55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2025-01-22T04:30:11Z</dcterms:modified>
</cp:coreProperties>
</file>