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center"/>
        <w:rPr>
          <w:b/>
        </w:rPr>
      </w:pPr>
      <w:r>
        <w:rPr>
          <w:b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ИНФОРМАЦИОННЫХ ПРОЕКТОВ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внесении изменений в приказ управления информационных проектов Новосибирской области от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31.10.2017 № 106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09"/>
        <w:jc w:val="both"/>
        <w:rPr>
          <w:strike/>
        </w:rPr>
        <w:suppressLineNumbers w:val="0"/>
      </w:pPr>
      <w:r>
        <w:rPr>
          <w:b/>
        </w:rPr>
      </w:r>
      <w:r>
        <w:rPr>
          <w:b/>
        </w:rPr>
        <w:t xml:space="preserve">П</w:t>
      </w:r>
      <w:r>
        <w:rPr>
          <w:b/>
        </w:rPr>
        <w:t xml:space="preserve"> </w:t>
      </w:r>
      <w:r>
        <w:rPr>
          <w:b/>
        </w:rPr>
        <w:t xml:space="preserve">р</w:t>
      </w:r>
      <w:r>
        <w:rPr>
          <w:b/>
        </w:rPr>
        <w:t xml:space="preserve"> </w:t>
      </w:r>
      <w:r>
        <w:rPr>
          <w:b/>
        </w:rPr>
        <w:t xml:space="preserve">и</w:t>
      </w:r>
      <w:r>
        <w:rPr>
          <w:b/>
        </w:rPr>
        <w:t xml:space="preserve"> </w:t>
      </w:r>
      <w:r>
        <w:rPr>
          <w:b/>
        </w:rPr>
        <w:t xml:space="preserve">к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з</w:t>
      </w:r>
      <w:r>
        <w:rPr>
          <w:b/>
        </w:rPr>
        <w:t xml:space="preserve"> </w:t>
      </w:r>
      <w:r>
        <w:rPr>
          <w:b/>
        </w:rPr>
        <w:t xml:space="preserve">ы</w:t>
      </w:r>
      <w:r>
        <w:rPr>
          <w:b/>
        </w:rPr>
        <w:t xml:space="preserve"> </w:t>
      </w:r>
      <w:r>
        <w:rPr>
          <w:b/>
        </w:rPr>
        <w:t xml:space="preserve">в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ю</w:t>
      </w:r>
      <w:r>
        <w:t xml:space="preserve">:</w:t>
      </w:r>
      <w:r>
        <w:rPr>
          <w:strike/>
        </w:rPr>
      </w:r>
      <w:r>
        <w:rPr>
          <w:strike/>
        </w:rPr>
      </w:r>
    </w:p>
    <w:p>
      <w:pPr>
        <w:pStyle w:val="926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b w:val="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Внести в приказ управления информационных проектов Новосибирской области от 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31.10.2017 № 106 «О предотвращении 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и урегулировании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обязанностей»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(в редакции приказов от 18.04.2019 № 30, от 15.11.2019 № 94, от 26.11.2021 № 12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9, от 01.02.2024 № 1-НПА),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следующие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изменени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 Преамбулу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26"/>
        <w:ind w:firstLine="709"/>
        <w:jc w:val="both"/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В соответствии с Федеральным </w:t>
      </w:r>
      <w:hyperlink r:id="rId14" w:tooltip="https://login.consultant.ru/link/?req=doc&amp;base=LAW&amp;n=482878" w:history="1">
        <w:r>
          <w:rPr>
            <w:rFonts w:ascii="Times New Roman" w:hAnsi="Times New Roman" w:eastAsia="Calibri" w:cs="Times New Roman"/>
            <w:b w:val="0"/>
            <w:bCs w:val="0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от 25.12.2008 № 273-ФЗ «О противодействии коррупции»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остановление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Правительства Новосибирской области от 29.01.2013 № 28-п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«О П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доходах, об имуществе и обязательствах имущественного характера»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и во исполнение решения комиссии по коор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динации работы по противодействию коррупции в Новосибирской области, содержащегося в подпункте 2 пункта 2 второго вопроса протокола заседания комиссии по координации работы по противодействию коррупции в Новосибирской области от 06.06.2017 № 7, приказываю: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».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14:ligatures w14:val="none"/>
        </w:rPr>
      </w:r>
    </w:p>
    <w:p>
      <w:pPr>
        <w:pStyle w:val="926"/>
        <w:ind w:firstLine="709"/>
        <w:jc w:val="both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2. В Положении о ко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миссии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обязанностей: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26"/>
        <w:ind w:firstLine="709"/>
        <w:jc w:val="both"/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1) пункт 1 изложить в следующей редакции: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14"/>
        <w:ind w:firstLine="540"/>
        <w:jc w:val="both"/>
        <w:rPr>
          <w:highlight w:val="white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  <w:highlight w:val="none"/>
        </w:rPr>
        <w:t xml:space="preserve">«</w:t>
      </w:r>
      <w:r>
        <w:t xml:space="preserve">1. Порядок формирования и деятельности комиссии по предотвращению и урегулированию конфликтов интерес</w:t>
      </w:r>
      <w:r>
        <w:t xml:space="preserve">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 (далее - комиссия), разработан в соответствии с Федеральным </w:t>
      </w:r>
      <w:r>
        <w:t xml:space="preserve">законом</w:t>
      </w:r>
      <w:r>
        <w:t xml:space="preserve"> от 25.12.2008 № 273-ФЗ «О противодействии корруп</w:t>
      </w:r>
      <w:r>
        <w:rPr>
          <w:highlight w:val="white"/>
        </w:rPr>
        <w:t xml:space="preserve">ции»</w:t>
      </w:r>
      <w:r>
        <w:rPr>
          <w:highlight w:val="white"/>
        </w:rPr>
        <w:t xml:space="preserve">, </w:t>
      </w:r>
      <w:r>
        <w:rPr>
          <w:highlight w:val="white"/>
        </w:rPr>
        <w:t xml:space="preserve">постановлением </w:t>
      </w:r>
      <w:r>
        <w:rPr>
          <w:highlight w:val="white"/>
        </w:rPr>
        <w:t xml:space="preserve">Правительства Новосибирской области от 29.01.2013 № 28-п «О Порядке представления </w:t>
      </w:r>
      <w:r>
        <w:rPr>
          <w:highlight w:val="white"/>
        </w:rPr>
        <w:t xml:space="preserve">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доходах, об имуществе и обязательствах имущественного характера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в целях предотвращен</w:t>
      </w:r>
      <w:r>
        <w:rPr>
          <w:highlight w:val="white"/>
        </w:rPr>
        <w:t xml:space="preserve">и</w:t>
      </w:r>
      <w:r>
        <w:rPr>
          <w:highlight w:val="white"/>
        </w:rPr>
        <w:t xml:space="preserve">я и урегулирования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 (далее - организации), должностных обязанностей, </w:t>
      </w:r>
      <w:r>
        <w:rPr>
          <w:highlight w:val="white"/>
        </w:rPr>
        <w:t xml:space="preserve">а также рассмотрения иных вопросов, установленных законодательством о противодействии коррупции.</w:t>
      </w:r>
      <w:r>
        <w:rPr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540"/>
        <w:jc w:val="both"/>
        <w:rPr>
          <w:highlight w:val="none"/>
        </w:rPr>
      </w:pPr>
      <w:r>
        <w:rPr>
          <w:highlight w:val="none"/>
        </w:rPr>
        <w:t xml:space="preserve">2) пункт 3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540"/>
        <w:jc w:val="both"/>
        <w:rPr>
          <w:highlight w:val="whit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3.</w:t>
      </w:r>
      <w:r>
        <w:rPr>
          <w:highlight w:val="white"/>
        </w:rPr>
        <w:t xml:space="preserve"> </w:t>
      </w:r>
      <w:r>
        <w:rPr>
          <w:highlight w:val="white"/>
        </w:rPr>
        <w:t xml:space="preserve">Комиссия рассматривает вопросы, связанные с соблюдением требований об урегулировании конфликт</w:t>
      </w:r>
      <w:r>
        <w:rPr>
          <w:highlight w:val="white"/>
        </w:rPr>
        <w:t xml:space="preserve">а интересов, в отно</w:t>
      </w:r>
      <w:r>
        <w:rPr>
          <w:highlight w:val="white"/>
        </w:rPr>
        <w:t xml:space="preserve">шении руководителей организаций, </w:t>
      </w:r>
      <w:r>
        <w:rPr>
          <w:highlight w:val="white"/>
        </w:rPr>
        <w:t xml:space="preserve">а также </w:t>
      </w:r>
      <w:bookmarkStart w:id="0" w:name="undefined"/>
      <w:r>
        <w:rPr>
          <w:highlight w:val="white"/>
        </w:rPr>
      </w:r>
      <w:bookmarkEnd w:id="0"/>
      <w:r>
        <w:rPr>
          <w:highlight w:val="white"/>
        </w:rPr>
        <w:t xml:space="preserve">уведомления о невозможности </w:t>
      </w:r>
      <w:r>
        <w:rPr>
          <w:highlight w:val="white"/>
        </w:rPr>
        <w:t xml:space="preserve">представления сведений о доходах, об имуществе и обязательствах имущественного характера по независящим от руководителя организации обстоятельствам.</w:t>
      </w:r>
      <w:r>
        <w:rPr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540"/>
        <w:jc w:val="both"/>
        <w:rPr>
          <w:highlight w:val="none"/>
        </w:rPr>
      </w:pPr>
      <w:r>
        <w:rPr>
          <w:highlight w:val="none"/>
        </w:rPr>
        <w:t xml:space="preserve">3) пункт 6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none"/>
        </w:rPr>
        <w:t xml:space="preserve">«</w:t>
      </w:r>
      <w:r>
        <w:t xml:space="preserve">6. В заседаниях комиссии с правом совещательного голоса уч</w:t>
      </w:r>
      <w:r>
        <w:t xml:space="preserve">аствуют: другие сотрудн</w:t>
      </w:r>
      <w:r>
        <w:rPr>
          <w:highlight w:val="white"/>
        </w:rPr>
        <w:t xml:space="preserve">ики организаций, которые могут дать пояснения по вопросам, рассматриваемым комиссией; представитель руководителя организации, в отношении которого комиссией рассматривается вопрос</w:t>
      </w:r>
      <w:r>
        <w:rPr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highlight w:val="white"/>
        </w:rPr>
        <w:t xml:space="preserve">указанный в пункте 9 настоящего Положения</w:t>
      </w:r>
      <w:r>
        <w:rPr>
          <w:highlight w:val="white"/>
        </w:rPr>
        <w:t xml:space="preserve"> (далее - вопрос),</w:t>
      </w:r>
      <w:r>
        <w:rPr>
          <w:highlight w:val="white"/>
        </w:rPr>
        <w:t xml:space="preserve"> - по решению п</w:t>
      </w:r>
      <w:r>
        <w:rPr>
          <w:highlight w:val="white"/>
        </w:rPr>
        <w:t xml:space="preserve">редседателя комиссии, принимаемому в каждом конкретном случае отдельно не менее чем за 3 дня до дня заседания коми</w:t>
      </w:r>
      <w:r>
        <w:t xml:space="preserve">ссии на основании ходатайства руководителя организации, в отношении которого комиссией рассматривается </w:t>
      </w:r>
      <w:r>
        <w:t xml:space="preserve">вопрос, или любого члена к</w:t>
      </w:r>
      <w:r>
        <w:rPr>
          <w:highlight w:val="white"/>
        </w:rPr>
        <w:t xml:space="preserve">омиссии.</w:t>
      </w:r>
      <w:r>
        <w:rPr>
          <w:highlight w:val="white"/>
        </w:rPr>
        <w:t xml:space="preserve">»;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4) пункт 9 дополнить подпунктом 3 следующего содержания: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none"/>
          <w14:ligatures w14:val="non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3) поступление в комиссию уведомления о возникновении независящих от руководителя организации обстоятельств, препятствующих представлению сведений о доходах, об имуществе и обязательствах имущественного характера.</w:t>
      </w:r>
      <w:r>
        <w:rPr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none"/>
        </w:rPr>
        <w:t xml:space="preserve">5) в подпункте 2 пу</w:t>
      </w:r>
      <w:r>
        <w:rPr>
          <w:highlight w:val="white"/>
        </w:rPr>
        <w:t xml:space="preserve">нкта 11, пунк</w:t>
      </w:r>
      <w:r>
        <w:rPr>
          <w:highlight w:val="white"/>
        </w:rPr>
        <w:t xml:space="preserve">те 12, пункте 13 и подпункте 2 пункта 20 с</w:t>
      </w:r>
      <w:r>
        <w:rPr>
          <w:highlight w:val="white"/>
        </w:rPr>
        <w:t xml:space="preserve">лова </w:t>
      </w:r>
      <w:r>
        <w:rPr>
          <w:strike w:val="0"/>
          <w:highlight w:val="white"/>
        </w:rPr>
        <w:t xml:space="preserve">«</w:t>
      </w:r>
      <w:r>
        <w:rPr>
          <w:strike w:val="0"/>
          <w:highlight w:val="white"/>
        </w:rPr>
        <w:t xml:space="preserve">об урегулировании</w:t>
      </w:r>
      <w:r>
        <w:rPr>
          <w:strike w:val="0"/>
          <w:highlight w:val="white"/>
        </w:rPr>
        <w:t xml:space="preserve"> к</w:t>
      </w:r>
      <w:r>
        <w:rPr>
          <w:highlight w:val="white"/>
        </w:rPr>
        <w:t xml:space="preserve">онфликта интересов</w:t>
      </w:r>
      <w:r>
        <w:rPr>
          <w:highlight w:val="white"/>
        </w:rPr>
        <w:t xml:space="preserve">»</w:t>
      </w:r>
      <w:r>
        <w:rPr>
          <w:highlight w:val="white"/>
        </w:rPr>
        <w:t xml:space="preserve"> исключить;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6) абзац 1 пункта 16 изложить в следующей редакции: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none"/>
        </w:rPr>
      </w:pPr>
      <w:r>
        <w:rPr>
          <w:highlight w:val="white"/>
        </w:rPr>
        <w:t xml:space="preserve">«</w:t>
      </w: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highlight w:val="white"/>
        </w:rPr>
        <w:t xml:space="preserve">1</w:t>
      </w:r>
      <w:r>
        <w:rPr>
          <w:highlight w:val="white"/>
        </w:rPr>
        <w:t xml:space="preserve">6. По итогам рассмотрения уведомления, </w:t>
      </w:r>
      <w:r>
        <w:rPr>
          <w:highlight w:val="white"/>
        </w:rPr>
        <w:t xml:space="preserve">указанного в подпункте 1 пункта 9 настоящего Положения</w:t>
      </w:r>
      <w:r>
        <w:rPr>
          <w:highlight w:val="white"/>
        </w:rPr>
        <w:t xml:space="preserve">, заключения и других материалов, полученных в ходе предварительного рассмотрения уведомления, комиссия принимает одно из следующих решений: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540"/>
        <w:jc w:val="both"/>
        <w:rPr>
          <w:highlight w:val="none"/>
        </w:rPr>
      </w:pPr>
      <w:r>
        <w:rPr>
          <w:highlight w:val="none"/>
        </w:rPr>
        <w:t xml:space="preserve">7) дополнить пунктом 16.1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16.1. </w:t>
      </w:r>
      <w:r>
        <w:rPr>
          <w:highlight w:val="white"/>
        </w:rPr>
        <w:t xml:space="preserve">По итогам рассмотрения уведомления, </w:t>
      </w:r>
      <w:r>
        <w:rPr>
          <w:highlight w:val="white"/>
        </w:rPr>
        <w:t xml:space="preserve">указанного в подпункте 3 пункта 9 настоящего Положения</w:t>
      </w:r>
      <w:r>
        <w:rPr>
          <w:highlight w:val="white"/>
        </w:rPr>
        <w:t xml:space="preserve">, заключения и других материалов, полученных в ходе предварительного рассмотрения уведомления, комиссия принимает одно из следующих решений: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1) признать наличие причинно-следственной связи между возникновением независящих от руководителя организации обстоятельств и невозможностью представления им сведений о доходах, об имуществе и обязательствах имущественного характера;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none"/>
          <w14:ligatures w14:val="none"/>
        </w:rPr>
      </w:pPr>
      <w:r>
        <w:rPr>
          <w:highlight w:val="white"/>
        </w:rPr>
        <w:t xml:space="preserve">2) </w:t>
      </w:r>
      <w:r>
        <w:rPr>
          <w:highlight w:val="white"/>
        </w:rPr>
        <w:t xml:space="preserve">признать отсутствие причинно-следственной связи между возникновением независящих от руководителя организации обстоятельств и невозможностью </w:t>
      </w:r>
      <w:r>
        <w:rPr>
          <w:highlight w:val="white"/>
        </w:rPr>
        <w:t xml:space="preserve">представления им сведений о доходах, об имуществе и обязательствах имущественного характера</w:t>
      </w:r>
      <w:r>
        <w:rPr>
          <w:highlight w:val="white"/>
        </w:rPr>
        <w:t xml:space="preserve">.</w:t>
      </w:r>
      <w:r>
        <w:rPr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14"/>
        <w:ind w:firstLine="540"/>
        <w:jc w:val="both"/>
        <w:rPr>
          <w:highlight w:val="none"/>
          <w14:ligatures w14:val="none"/>
        </w:rPr>
      </w:pPr>
      <w:r>
        <w:rPr>
          <w:highlight w:val="none"/>
        </w:rPr>
        <w:t xml:space="preserve">8) пункт 17 изложить в следующей редакции: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</w:rPr>
        <w:t xml:space="preserve">«</w:t>
      </w:r>
      <w:r>
        <w:rPr>
          <w:highlight w:val="white"/>
        </w:rPr>
        <w:t xml:space="preserve">17. По итогам рассмотрения уведомлений, указанных в подпунктах 1 и 3 пункта 9 настоящего Положения и при наличии к тому оснований комиссия может принять иное решение, чем это предусмотрено </w:t>
      </w:r>
      <w:r>
        <w:rPr>
          <w:highlight w:val="white"/>
        </w:rPr>
        <w:t xml:space="preserve">пунктами 16</w:t>
      </w:r>
      <w:r>
        <w:rPr>
          <w:highlight w:val="white"/>
        </w:rPr>
        <w:t xml:space="preserve"> и 16.1</w:t>
      </w:r>
      <w:r>
        <w:rPr>
          <w:highlight w:val="white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highlight w:val="white"/>
        </w:rPr>
        <w:t xml:space="preserve">»;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9) пункт 26 изложить в следующей редакции: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26. Копия протокола заседания комиссии или выписка из него приобщается к личному делу руководителя организации, в отношении которого был ра</w:t>
      </w:r>
      <w:r>
        <w:rPr>
          <w:highlight w:val="white"/>
        </w:rPr>
        <w:t xml:space="preserve">ссмотрен вопрос.</w:t>
      </w:r>
      <w:r>
        <w:rPr>
          <w:highlight w:val="white"/>
        </w:rPr>
        <w:t xml:space="preserve">»;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10) дополнить пунктом 28 следующего содержания: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none"/>
          <w14:ligatures w14:val="non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28. </w:t>
      </w:r>
      <w:r>
        <w:rPr>
          <w:highlight w:val="white"/>
        </w:rPr>
        <w:t xml:space="preserve">Уче</w:t>
      </w:r>
      <w:r>
        <w:rPr>
          <w:highlight w:val="white"/>
        </w:rPr>
        <w:t xml:space="preserve">т и хранение уведомлений, указанных в подпунк</w:t>
      </w:r>
      <w:r>
        <w:rPr>
          <w:highlight w:val="white"/>
        </w:rPr>
        <w:t xml:space="preserve">те 3 пункта 9 настоящего Положения, заключений и других материалов, полученных в ходе рассмотрения данных уведомлений, протоколов заседания комиссии осуществляется отделом правового, организационного и кадрового обеспечения управления, который также ведет </w:t>
      </w:r>
      <w:hyperlink w:tooltip="#P158" w:anchor="P158" w:history="1">
        <w:r>
          <w:rPr>
            <w:highlight w:val="white"/>
          </w:rPr>
          <w:t xml:space="preserve">журнал</w:t>
        </w:r>
      </w:hyperlink>
      <w:r>
        <w:rPr>
          <w:highlight w:val="white"/>
        </w:rPr>
        <w:t xml:space="preserve"> учета уведомлений по форме согласно приложению к настоящему Положению.</w:t>
      </w:r>
      <w:r>
        <w:rPr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none"/>
        </w:rPr>
        <w:t xml:space="preserve">11) дополнить приложением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согласно приложению № 1 к настоящему приказу.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ind w:firstLine="540"/>
        <w:jc w:val="both"/>
        <w:rPr>
          <w:highlight w:val="white"/>
          <w14:ligatures w14:val="none"/>
        </w:rPr>
      </w:pPr>
      <w:r>
        <w:rPr>
          <w:highlight w:val="none"/>
        </w:rPr>
      </w:r>
      <w:r>
        <w:rPr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Состав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изложить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редакции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согласно приложению № 2 к настоящему приказу.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91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С.Е. Матвиенко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Заместитель начальника управления-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начальник отдела взаи</w:t>
      </w:r>
      <w:r>
        <w:rPr>
          <w:color w:val="000000"/>
          <w:sz w:val="28"/>
          <w:szCs w:val="28"/>
          <w:highlight w:val="none"/>
        </w:rPr>
        <w:t xml:space="preserve">модействия </w:t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с подведомственными учреждениями </w:t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и реализации программ</w:t>
      </w:r>
      <w:r>
        <w:rPr>
          <w:color w:val="000000"/>
          <w:sz w:val="28"/>
          <w:szCs w:val="28"/>
          <w:highlight w:val="none"/>
        </w:rPr>
        <w:t xml:space="preserve">                                                                          И.Н. Кайдала</w:t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pStyle w:val="9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Начальник</w:t>
      </w:r>
      <w:r>
        <w:rPr>
          <w:color w:val="000000"/>
          <w:sz w:val="28"/>
          <w:szCs w:val="28"/>
        </w:rPr>
        <w:t xml:space="preserve"> отдела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правового, организационного 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кадрового обеспечения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Т.Н. Антошихина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И.А. Колкунова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08"/>
        <w:rPr>
          <w:color w:val="000000"/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850" w:bottom="851" w:left="1418" w:header="708" w:footer="708" w:gutter="0"/>
          <w:pgNumType w:start="2"/>
          <w:cols w:num="1" w:sep="0" w:space="708" w:equalWidth="1"/>
          <w:docGrid w:linePitch="360"/>
          <w:titlePg/>
        </w:sectPr>
      </w:pPr>
      <w:r>
        <w:rPr>
          <w:color w:val="000000"/>
          <w:sz w:val="20"/>
          <w:szCs w:val="20"/>
        </w:rPr>
        <w:t xml:space="preserve">238 61 48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tbl>
      <w:tblPr>
        <w:tblW w:w="6962" w:type="dxa"/>
        <w:tblInd w:w="620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3"/>
        <w:gridCol w:w="3280"/>
      </w:tblGrid>
      <w:tr>
        <w:tblPrEx/>
        <w:trPr>
          <w:gridAfter w:val="1"/>
          <w:trHeight w:val="15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</w:pPr>
            <w:r>
              <w:t xml:space="preserve">Приложение № 1</w:t>
            </w:r>
            <w:r/>
          </w:p>
          <w:p>
            <w:pPr>
              <w:pStyle w:val="914"/>
              <w:jc w:val="center"/>
            </w:pPr>
            <w:r>
              <w:t xml:space="preserve">к приказу управления информационных проектов Новосибирской области </w:t>
            </w:r>
            <w:r/>
          </w:p>
          <w:p>
            <w:pPr>
              <w:pStyle w:val="914"/>
              <w:jc w:val="center"/>
            </w:pPr>
            <w:r>
              <w:t xml:space="preserve">от __________ № _____</w:t>
            </w:r>
            <w:r/>
          </w:p>
        </w:tc>
      </w:tr>
      <w:tr>
        <w:tblPrEx/>
        <w:trPr>
          <w:gridAfter w:val="1"/>
          <w:trHeight w:val="15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highlight w:val="none"/>
              </w:rPr>
            </w:pPr>
            <w:r>
              <w:t xml:space="preserve">«Приложение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4"/>
              <w:jc w:val="center"/>
            </w:pPr>
            <w:r>
              <w:rPr>
                <w:highlight w:val="none"/>
              </w:rPr>
              <w:t xml:space="preserve">к Положению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 xml:space="preserve">о ко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 xml:space="preserve">миссии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914"/>
        <w:ind w:firstLine="540"/>
        <w:jc w:val="right"/>
      </w:pPr>
      <w:r/>
      <w:r/>
    </w:p>
    <w:p>
      <w:pPr>
        <w:pStyle w:val="914"/>
        <w:ind w:firstLine="540"/>
        <w:jc w:val="right"/>
      </w:pPr>
      <w:r/>
      <w:r/>
    </w:p>
    <w:p>
      <w:pPr>
        <w:pStyle w:val="914"/>
        <w:jc w:val="center"/>
        <w:rPr>
          <w:highlight w:val="white"/>
        </w:rPr>
      </w:pPr>
      <w:r>
        <w:rPr>
          <w:highlight w:val="white"/>
        </w:rPr>
        <w:t xml:space="preserve">Журнал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jc w:val="center"/>
        <w:rPr>
          <w:highlight w:val="white"/>
        </w:rPr>
      </w:pPr>
      <w:r>
        <w:rPr>
          <w:highlight w:val="white"/>
        </w:rPr>
        <w:t xml:space="preserve">учета уведомлений о</w:t>
      </w:r>
      <w:r>
        <w:rPr>
          <w:highlight w:val="white"/>
        </w:rPr>
        <w:t xml:space="preserve"> </w:t>
      </w:r>
      <w:r>
        <w:rPr>
          <w:highlight w:val="white"/>
        </w:rPr>
        <w:t xml:space="preserve">возникновении независящих от ру</w:t>
      </w:r>
      <w:r>
        <w:rPr>
          <w:highlight w:val="white"/>
        </w:rPr>
        <w:t xml:space="preserve">ководителя государственного учреждения Новосибирской области, подведомственного управлению информационных проектов Новосибирской области, обстоятельств, препятствующих представлению сведений о доходах, об имуществе и обязательствах имущественного характера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540"/>
        <w:jc w:val="both"/>
        <w:rPr>
          <w:sz w:val="24"/>
          <w:szCs w:val="24"/>
          <w:highlight w:val="white"/>
        </w:rPr>
      </w:pPr>
      <w:r>
        <w:rPr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7"/>
        <w:gridCol w:w="1555"/>
        <w:gridCol w:w="3011"/>
        <w:gridCol w:w="1952"/>
        <w:gridCol w:w="2725"/>
      </w:tblGrid>
      <w:tr>
        <w:tblPrEx/>
        <w:trPr>
          <w:trHeight w:val="1406"/>
        </w:trPr>
        <w:tc>
          <w:tcPr>
            <w:tcW w:w="597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  <w:t xml:space="preserve"> 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Дата поступления уведомления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11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Сведения о лице, направившем уведомление (фамилия, имя, отчество (последнее - при наличии)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Краткое содержание уведомления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725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Фамилия, имя, отчество (последнее - при наличии) лица, принявшего уведомление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W w:w="597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11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725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W w:w="597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11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725" w:type="dxa"/>
            <w:textDirection w:val="lrTb"/>
            <w:noWrap w:val="false"/>
          </w:tcPr>
          <w:p>
            <w:pPr>
              <w:pStyle w:val="914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14"/>
        <w:ind w:firstLine="540"/>
        <w:jc w:val="righ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14"/>
        <w:ind w:firstLine="540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540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540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540"/>
        <w:jc w:val="center"/>
      </w:pPr>
      <w:r>
        <w:t xml:space="preserve">_________</w:t>
      </w:r>
      <w:r>
        <w:rPr>
          <w:highlight w:val="none"/>
        </w:rPr>
      </w:r>
      <w:r/>
    </w:p>
    <w:p>
      <w:pPr>
        <w:pStyle w:val="914"/>
        <w:ind w:firstLine="540"/>
        <w:jc w:val="right"/>
        <w:rPr>
          <w:highlight w:val="none"/>
        </w:rPr>
      </w:pPr>
      <w: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540"/>
        <w:jc w:val="right"/>
      </w:pPr>
      <w:r/>
      <w:r/>
    </w:p>
    <w:p>
      <w:pPr>
        <w:pStyle w:val="914"/>
        <w:ind w:firstLine="540"/>
        <w:jc w:val="right"/>
      </w:pPr>
      <w:r/>
      <w:r/>
    </w:p>
    <w:p>
      <w:pPr>
        <w:pStyle w:val="914"/>
        <w:ind w:firstLine="540"/>
        <w:jc w:val="right"/>
      </w:pPr>
      <w:r/>
      <w:r/>
    </w:p>
    <w:p>
      <w:pPr>
        <w:pStyle w:val="914"/>
        <w:ind w:firstLine="540"/>
        <w:jc w:val="right"/>
      </w:pPr>
      <w:r/>
      <w:r/>
    </w:p>
    <w:tbl>
      <w:tblPr>
        <w:tblW w:w="6962" w:type="dxa"/>
        <w:tblInd w:w="620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3"/>
        <w:gridCol w:w="3280"/>
      </w:tblGrid>
      <w:tr>
        <w:tblPrEx/>
        <w:trPr>
          <w:gridAfter w:val="1"/>
          <w:trHeight w:val="15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</w:pPr>
            <w:r>
              <w:t xml:space="preserve">Приложение № 2</w:t>
            </w:r>
            <w:r/>
          </w:p>
          <w:p>
            <w:pPr>
              <w:pStyle w:val="914"/>
              <w:jc w:val="center"/>
            </w:pPr>
            <w:r>
              <w:t xml:space="preserve">к приказу управления информационных проектов Новосибирской области </w:t>
            </w:r>
            <w:r/>
          </w:p>
          <w:p>
            <w:pPr>
              <w:pStyle w:val="914"/>
              <w:jc w:val="center"/>
            </w:pPr>
            <w:r>
              <w:t xml:space="preserve">от __________ № _____</w:t>
            </w:r>
            <w:r/>
          </w:p>
        </w:tc>
      </w:tr>
    </w:tbl>
    <w:tbl>
      <w:tblPr>
        <w:tblW w:w="0" w:type="auto"/>
        <w:tblInd w:w="620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</w:pPr>
            <w:r>
              <w:t xml:space="preserve">«Утвержден приказом управления информационных проектов Новосибирской области от 31.10.2017 № 106</w:t>
            </w:r>
            <w:r/>
          </w:p>
        </w:tc>
      </w:tr>
    </w:tbl>
    <w:p>
      <w:pPr>
        <w:pStyle w:val="914"/>
        <w:ind w:firstLine="540"/>
        <w:jc w:val="right"/>
      </w:pPr>
      <w:r/>
      <w:r/>
    </w:p>
    <w:p>
      <w:pPr>
        <w:pStyle w:val="914"/>
        <w:ind w:firstLine="540"/>
        <w:jc w:val="center"/>
        <w:rPr>
          <w:b/>
        </w:rPr>
      </w:pPr>
      <w:r>
        <w:rPr>
          <w:b/>
        </w:rPr>
        <w:t xml:space="preserve">Состав комиссии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</w:t>
      </w:r>
      <w:r>
        <w:rPr>
          <w:b/>
        </w:rPr>
      </w:r>
      <w:r>
        <w:rPr>
          <w:b/>
        </w:rPr>
      </w:r>
    </w:p>
    <w:p>
      <w:pPr>
        <w:pStyle w:val="914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63"/>
        <w:gridCol w:w="413"/>
        <w:gridCol w:w="6956"/>
      </w:tblGrid>
      <w:tr>
        <w:tblPrEx/>
        <w:trPr>
          <w:trHeight w:val="90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Кайдала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- начальник отдела взаимодействия с подведомственными учреждениями и реализации программ управления информационных проектов Новосибирской области, председатель комиссии;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0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14:ligatures w14:val="none"/>
              </w:rPr>
            </w:pPr>
            <w:r>
              <w:rPr>
                <w:sz w:val="24"/>
                <w:szCs w:val="24"/>
              </w:rPr>
              <w:t xml:space="preserve">Антошихина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914"/>
              <w:jc w:val="both"/>
              <w:rPr>
                <w14:ligatures w14:val="none"/>
              </w:rPr>
            </w:pPr>
            <w:r>
              <w:rPr>
                <w:sz w:val="24"/>
                <w:szCs w:val="24"/>
              </w:rPr>
              <w:t xml:space="preserve">Татьяна Николаевна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914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ачальник отдела правового, организационного и кадрового обеспечения, заместитель председателя комиссии;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7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91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Кобук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14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Юлия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14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Михайловна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финансового отдела;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Колкунова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отдела правового, организационного и кадрового обеспечения управления информационных проектов Новосибирской области, секретарь комиссии;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r>
              <w:t xml:space="preserve">Ревуцкая Вероника Андреевна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r>
              <w:t xml:space="preserve">советник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      </w:r>
            <w:r/>
          </w:p>
        </w:tc>
      </w:tr>
      <w:tr>
        <w:tblPrEx/>
        <w:trPr>
          <w:trHeight w:val="3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r>
              <w:t xml:space="preserve">член Общественного совета при управлении информационных проектов Новосибирской области (по согласованию);</w:t>
            </w:r>
            <w:r/>
          </w:p>
        </w:tc>
      </w:tr>
      <w:tr>
        <w:tblPrEx/>
        <w:trPr>
          <w:trHeight w:val="3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r>
              <w:t xml:space="preserve">член совета главных редакторов при управлении информационных проектов Новосибирской области (по согласованию).</w:t>
            </w:r>
            <w:r/>
          </w:p>
        </w:tc>
      </w:tr>
    </w:tbl>
    <w:p>
      <w:pPr>
        <w:pStyle w:val="914"/>
        <w:ind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0"/>
        <w:jc w:val="center"/>
        <w:rPr>
          <w:highlight w:val="none"/>
        </w:rPr>
      </w:pPr>
      <w:r>
        <w:t xml:space="preserve">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firstLine="540"/>
        <w:jc w:val="right"/>
      </w:pPr>
      <w:r>
        <w:t xml:space="preserve">».</w:t>
      </w:r>
      <w:r/>
    </w:p>
    <w:p>
      <w:pPr>
        <w:pStyle w:val="914"/>
        <w:ind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0" w:bottom="851" w:left="1418" w:header="708" w:footer="708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922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tabs>
        <w:tab w:val="left" w:pos="4770" w:leader="none"/>
        <w:tab w:val="center" w:pos="4960" w:leader="none"/>
      </w:tabs>
    </w:pPr>
    <w:r>
      <w:tab/>
      <w:tab/>
      <w:tab/>
    </w:r>
    <w:r/>
  </w:p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22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4" w:hanging="13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09">
    <w:name w:val="Основной шрифт абзаца"/>
    <w:next w:val="909"/>
    <w:link w:val="908"/>
    <w:uiPriority w:val="1"/>
    <w:unhideWhenUsed/>
  </w:style>
  <w:style w:type="table" w:styleId="910">
    <w:name w:val="Обычная таблица"/>
    <w:next w:val="910"/>
    <w:link w:val="908"/>
    <w:uiPriority w:val="99"/>
    <w:semiHidden/>
    <w:unhideWhenUsed/>
    <w:tblPr/>
  </w:style>
  <w:style w:type="numbering" w:styleId="911">
    <w:name w:val="Нет списка"/>
    <w:next w:val="911"/>
    <w:link w:val="908"/>
    <w:uiPriority w:val="99"/>
    <w:semiHidden/>
    <w:unhideWhenUsed/>
  </w:style>
  <w:style w:type="paragraph" w:styleId="912">
    <w:name w:val="Текст выноски"/>
    <w:basedOn w:val="908"/>
    <w:next w:val="912"/>
    <w:link w:val="91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13">
    <w:name w:val="Текст выноски Знак"/>
    <w:next w:val="913"/>
    <w:link w:val="912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4">
    <w:name w:val="ConsPlusNormal"/>
    <w:next w:val="914"/>
    <w:link w:val="908"/>
    <w:rPr>
      <w:rFonts w:ascii="Times New Roman" w:hAnsi="Times New Roman"/>
      <w:sz w:val="28"/>
      <w:szCs w:val="28"/>
      <w:lang w:val="ru-RU" w:eastAsia="ru-RU" w:bidi="ar-SA"/>
    </w:rPr>
  </w:style>
  <w:style w:type="character" w:styleId="915">
    <w:name w:val="Гиперссылка"/>
    <w:next w:val="915"/>
    <w:link w:val="908"/>
    <w:uiPriority w:val="99"/>
    <w:unhideWhenUsed/>
    <w:rPr>
      <w:color w:val="0000ff"/>
      <w:u w:val="single"/>
    </w:rPr>
  </w:style>
  <w:style w:type="character" w:styleId="916">
    <w:name w:val="Знак примечания"/>
    <w:next w:val="916"/>
    <w:link w:val="908"/>
    <w:uiPriority w:val="99"/>
    <w:semiHidden/>
    <w:unhideWhenUsed/>
    <w:rPr>
      <w:sz w:val="16"/>
      <w:szCs w:val="16"/>
    </w:rPr>
  </w:style>
  <w:style w:type="paragraph" w:styleId="917">
    <w:name w:val="Текст примечания"/>
    <w:basedOn w:val="908"/>
    <w:next w:val="917"/>
    <w:link w:val="918"/>
    <w:uiPriority w:val="99"/>
    <w:semiHidden/>
    <w:unhideWhenUsed/>
    <w:rPr>
      <w:sz w:val="20"/>
      <w:szCs w:val="20"/>
      <w:lang w:val="en-US" w:eastAsia="en-US"/>
    </w:rPr>
  </w:style>
  <w:style w:type="character" w:styleId="918">
    <w:name w:val="Текст примечания Знак"/>
    <w:next w:val="918"/>
    <w:link w:val="917"/>
    <w:uiPriority w:val="99"/>
    <w:semiHidden/>
    <w:rPr>
      <w:rFonts w:ascii="Times New Roman" w:hAnsi="Times New Roman" w:eastAsia="Times New Roman"/>
    </w:rPr>
  </w:style>
  <w:style w:type="paragraph" w:styleId="919">
    <w:name w:val="Тема примечания"/>
    <w:basedOn w:val="917"/>
    <w:next w:val="917"/>
    <w:link w:val="920"/>
    <w:uiPriority w:val="99"/>
    <w:semiHidden/>
    <w:unhideWhenUsed/>
    <w:rPr>
      <w:b/>
      <w:bCs/>
    </w:rPr>
  </w:style>
  <w:style w:type="character" w:styleId="920">
    <w:name w:val="Тема примечания Знак"/>
    <w:next w:val="920"/>
    <w:link w:val="919"/>
    <w:uiPriority w:val="99"/>
    <w:semiHidden/>
    <w:rPr>
      <w:rFonts w:ascii="Times New Roman" w:hAnsi="Times New Roman" w:eastAsia="Times New Roman"/>
      <w:b/>
      <w:bCs/>
    </w:rPr>
  </w:style>
  <w:style w:type="table" w:styleId="921">
    <w:name w:val="Сетка таблицы"/>
    <w:basedOn w:val="910"/>
    <w:next w:val="921"/>
    <w:link w:val="908"/>
    <w:uiPriority w:val="59"/>
    <w:tblPr/>
  </w:style>
  <w:style w:type="paragraph" w:styleId="922">
    <w:name w:val="Верхний колонтитул"/>
    <w:basedOn w:val="908"/>
    <w:next w:val="922"/>
    <w:link w:val="92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3">
    <w:name w:val="Верхний колонтитул Знак"/>
    <w:next w:val="923"/>
    <w:link w:val="922"/>
    <w:uiPriority w:val="99"/>
    <w:rPr>
      <w:rFonts w:ascii="Times New Roman" w:hAnsi="Times New Roman" w:eastAsia="Times New Roman"/>
      <w:sz w:val="24"/>
      <w:szCs w:val="24"/>
    </w:rPr>
  </w:style>
  <w:style w:type="paragraph" w:styleId="924">
    <w:name w:val="Нижний колонтитул"/>
    <w:basedOn w:val="908"/>
    <w:next w:val="924"/>
    <w:link w:val="92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5">
    <w:name w:val="Нижний колонтитул Знак"/>
    <w:next w:val="925"/>
    <w:link w:val="924"/>
    <w:uiPriority w:val="99"/>
    <w:rPr>
      <w:rFonts w:ascii="Times New Roman" w:hAnsi="Times New Roman" w:eastAsia="Times New Roman"/>
      <w:sz w:val="24"/>
      <w:szCs w:val="24"/>
    </w:rPr>
  </w:style>
  <w:style w:type="paragraph" w:styleId="926">
    <w:name w:val="ConsPlusTitle"/>
    <w:next w:val="926"/>
    <w:link w:val="908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27">
    <w:name w:val="ConsPlusNonformat"/>
    <w:next w:val="927"/>
    <w:link w:val="90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828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16</cp:revision>
  <dcterms:created xsi:type="dcterms:W3CDTF">2019-10-10T09:46:00Z</dcterms:created>
  <dcterms:modified xsi:type="dcterms:W3CDTF">2024-11-19T10:12:37Z</dcterms:modified>
  <cp:version>983040</cp:version>
</cp:coreProperties>
</file>