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f8"/>
        <w:ind w:firstLine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УТВЕРЖДЕНО</w:t>
      </w:r>
    </w:p>
    <w:p>
      <w:pPr>
        <w:pStyle w:val="af8"/>
        <w:ind w:firstLine="453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департамента имущества</w:t>
      </w:r>
    </w:p>
    <w:p>
      <w:pPr>
        <w:pStyle w:val="af8"/>
        <w:ind w:firstLine="453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земельных отношений</w:t>
      </w:r>
    </w:p>
    <w:p>
      <w:pPr>
        <w:pStyle w:val="af8"/>
        <w:ind w:firstLine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</w:p>
    <w:p>
      <w:pPr>
        <w:pStyle w:val="af8"/>
        <w:ind w:firstLine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от___________№___________</w:t>
      </w:r>
    </w:p>
    <w:p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</w:t>
      </w:r>
    </w:p>
    <w:p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анализа обратной связи в департаменте имущества и земельных отношений Новосибирской области</w:t>
      </w:r>
    </w:p>
    <w:p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Настоящий Порядок регламентирует анализ и использование информации, полученной по результатам сбора обратной связи от внешних и внутренних клиентов в департаменте имущества и земельных отношений Новосибирской области (далее – департамент).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Настоящий Порядок разработан в соответствии с Единым порядком сбора и оценки обратной связи в областных исполнительных органах Новосибирской области, утвержденным протоколом межведомственной рабочей группы по внедрению клиентоцентричности в Новосибирской области от 11.04.2024 (далее - Единый порядок сбора и оценки обратной связи) и </w:t>
      </w:r>
      <w:r>
        <w:rPr>
          <w:rFonts w:ascii="Times New Roman" w:hAnsi="Times New Roman" w:cs="Times New Roman"/>
          <w:sz w:val="28"/>
          <w:szCs w:val="28"/>
        </w:rPr>
        <w:t xml:space="preserve">приказом департамента от 10.09.2024 № 2910-НПА «Об утверждении Порядка проведения реинжиниринга процессов в департаменте имущества и земельных отношений Новосибирской области» (далее – приказ департамента № 2910-НПА)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информации, полученной по результатам сбора обратной связи от внешних клиентов,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целях выявления общего уровня удовлетворенности государственной услугой или иным видом взаимодействия, а также отдельными параметрами такого взаимодействия с департаментом, введения изменений на основании полученной обратной связи, в том числе доработки государственных услуг департамента по результатам рассмотрения предложений внешних клиентов (заявителей). 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информации, полученной по результатам сбора </w:t>
      </w:r>
      <w:r>
        <w:rPr>
          <w:rFonts w:ascii="Times New Roman" w:hAnsi="Times New Roman" w:cs="Times New Roman"/>
          <w:sz w:val="28"/>
          <w:szCs w:val="28"/>
        </w:rPr>
        <w:t xml:space="preserve">обратной связи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внутренних клиентов,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целях оценки уровня удовлетворенности сотрудников департамента различными аспектами деятельности департамента, введения изменений на основании полученной обратной связи.</w:t>
      </w:r>
    </w:p>
    <w:p>
      <w:pPr>
        <w:pStyle w:val="af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Анализ информации, полученной по результатам сбора обратной связи от внешних клиентов, проводится один раз в квартал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10 числа отчетного месяца квартала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</w:p>
    <w:p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отделами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обеспечивающими предоставление государственных услуг департамента, по предоставляемым государственным услугам;</w:t>
      </w:r>
    </w:p>
    <w:p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организационной и кадровой работы в отношении рассмотрения обращений и запросов, обеспечения доступа к информации о деятельности департамента.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информации, полученной по результатам сбора </w:t>
      </w:r>
      <w:r>
        <w:rPr>
          <w:rFonts w:ascii="Times New Roman" w:hAnsi="Times New Roman" w:cs="Times New Roman"/>
          <w:sz w:val="28"/>
          <w:szCs w:val="28"/>
        </w:rPr>
        <w:t xml:space="preserve">обратной связи от внутренних клиентов,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формам 2 - 6 Приложения № 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Единого порядка сбора и оценки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один раз в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10 числа отчетного месяца квартала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организационной и кадровой работы по административно-хозяйственному блоку и кадровому блоку;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финансового обеспечения по информационно-техническому блоку и бухгалтерскому блоку;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управления имуществом по блоку управления государственным имуществом.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за проведение анализа обратной связи являются начальники соответствующих отделов департамента. 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На основе ежеквартального анализа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информации, полученной по результатам сбора обратной связи от внешних и внутренних клиентов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формируется «карта болей» согласно Приложению № 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Единого порядка сбора и оценки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разрабатываются мероприятия по реинжинирингу внешних и внутренних процессов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>
        <w:rPr>
          <w:rFonts w:ascii="Times New Roman" w:hAnsi="Times New Roman" w:cs="Times New Roman"/>
          <w:sz w:val="28"/>
          <w:szCs w:val="28"/>
        </w:rPr>
        <w:t xml:space="preserve">в порядке</w:t>
      </w:r>
      <w:r>
        <w:rPr>
          <w:rFonts w:ascii="Times New Roman" w:hAnsi="Times New Roman" w:cs="Times New Roman"/>
          <w:sz w:val="28"/>
          <w:szCs w:val="28"/>
        </w:rPr>
        <w:t xml:space="preserve"> и сроки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 приказом департамента № 2910-НПА;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подготавливаются предложения об изменении нормативно-правового регулирования процессов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готовятся новые инструктивные материалы для сотрудников и разъяснения для клиентов.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картой боли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понимаются наиболее острые проблемы, выявленные в рамках реализации отдельных процессов и процедур.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«Карта болей» включает в себя следующую информацию: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наименование процесса;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выявленные проблемы и (или) потенциальные потребности клиентов;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распространенность проблемы (высокая, средняя или низкая);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приоритетность решения проблемы, удовлетворения потребности (высокая, средняя или низкая);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мероприятия, необходимые к реализации для устранения проблем и удовлетворения потребностей клиентов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ответственный;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срок реализации мероприятий.</w:t>
      </w:r>
    </w:p>
    <w:p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П</w:t>
      </w:r>
      <w:r>
        <w:rPr>
          <w:rFonts w:ascii="Times New Roman" w:hAnsi="Times New Roman" w:cs="Times New Roman"/>
          <w:sz w:val="28"/>
          <w:szCs w:val="28"/>
        </w:rPr>
        <w:t xml:space="preserve">ри выявлении значительного числа негативной обратной связи от внешних клиентов, высокого уровня неудовлетворенности внешних клиентов, конкретных «болей» проводится дополнительный сбор обратной связи от внешних клиентов.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Внешнему к</w:t>
      </w:r>
      <w:r>
        <w:rPr>
          <w:rFonts w:ascii="Times New Roman" w:hAnsi="Times New Roman" w:cs="Times New Roman"/>
          <w:sz w:val="28"/>
          <w:szCs w:val="28"/>
        </w:rPr>
        <w:t xml:space="preserve">лиенту предоставляется информация об использовании полученной от него обратной связи посредством уведомления заявителя о результатах ее рассмотрения в порядке и сроки, предусмотренные федеральным законом от 2 мая 2006 года № 59-ФЗ «О порядке рассмотрения обращений граждан Российской Федерации», в случае, если такая обратная связь не была оставлена анонимно и требует реагирования.</w:t>
      </w:r>
    </w:p>
    <w:sectPr>
      <w:headerReference w:type="default" r:id="rId9"/>
      <w:headerReference w:type="first" r:id="rId10"/>
      <w:footerReference w:type="first" r:id="rId11"/>
      <w:pgSz w:w="11906" w:h="16838"/>
      <w:pgMar w:top="1134" w:right="567" w:bottom="964" w:left="1701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9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2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</w:p>
  <w:p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2FC5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2E585C">
      <w:start w:val="1"/>
      <w:numFmt w:val="lowerLetter"/>
      <w:lvlText w:val="%2."/>
      <w:lvlJc w:val="left"/>
      <w:pPr>
        <w:ind w:left="1788" w:hanging="360"/>
      </w:pPr>
    </w:lvl>
    <w:lvl w:ilvl="2" w:tplc="2026D5AA">
      <w:start w:val="1"/>
      <w:numFmt w:val="lowerRoman"/>
      <w:lvlText w:val="%3."/>
      <w:lvlJc w:val="right"/>
      <w:pPr>
        <w:ind w:left="2508" w:hanging="180"/>
      </w:pPr>
    </w:lvl>
    <w:lvl w:ilvl="3" w:tplc="58D0A946">
      <w:start w:val="1"/>
      <w:numFmt w:val="decimal"/>
      <w:lvlText w:val="%4."/>
      <w:lvlJc w:val="left"/>
      <w:pPr>
        <w:ind w:left="3228" w:hanging="360"/>
      </w:pPr>
    </w:lvl>
    <w:lvl w:ilvl="4" w:tplc="84589714">
      <w:start w:val="1"/>
      <w:numFmt w:val="lowerLetter"/>
      <w:lvlText w:val="%5."/>
      <w:lvlJc w:val="left"/>
      <w:pPr>
        <w:ind w:left="3948" w:hanging="360"/>
      </w:pPr>
    </w:lvl>
    <w:lvl w:ilvl="5" w:tplc="40B4942A">
      <w:start w:val="1"/>
      <w:numFmt w:val="lowerRoman"/>
      <w:lvlText w:val="%6."/>
      <w:lvlJc w:val="right"/>
      <w:pPr>
        <w:ind w:left="4668" w:hanging="180"/>
      </w:pPr>
    </w:lvl>
    <w:lvl w:ilvl="6" w:tplc="8CB0CD0A">
      <w:start w:val="1"/>
      <w:numFmt w:val="decimal"/>
      <w:lvlText w:val="%7."/>
      <w:lvlJc w:val="left"/>
      <w:pPr>
        <w:ind w:left="5388" w:hanging="360"/>
      </w:pPr>
    </w:lvl>
    <w:lvl w:ilvl="7" w:tplc="703623CE">
      <w:start w:val="1"/>
      <w:numFmt w:val="lowerLetter"/>
      <w:lvlText w:val="%8."/>
      <w:lvlJc w:val="left"/>
      <w:pPr>
        <w:ind w:left="6108" w:hanging="360"/>
      </w:pPr>
    </w:lvl>
    <w:lvl w:ilvl="8" w:tplc="F738E81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7" w:hanging="1800"/>
      </w:pPr>
      <w:rPr>
        <w:rFonts w:hint="default"/>
      </w:rPr>
    </w:lvl>
  </w:abstractNum>
  <w:abstractNum w:abstractNumId="2">
    <w:multiLevelType w:val="hybridMultilevel"/>
    <w:lvl w:ilvl="0" w:tplc="22B279E2">
      <w:start w:val="1"/>
      <w:numFmt w:val="bullet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 w:tplc="33048D16">
      <w:start w:val="1"/>
      <w:numFmt w:val="bullet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 w:tplc="06986254">
      <w:start w:val="1"/>
      <w:numFmt w:val="bullet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 w:tplc="C518E668">
      <w:start w:val="1"/>
      <w:numFmt w:val="bullet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 w:tplc="E6F00F2C">
      <w:start w:val="1"/>
      <w:numFmt w:val="bullet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 w:tplc="5E4ABB6E">
      <w:start w:val="1"/>
      <w:numFmt w:val="bullet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 w:tplc="24728FAC">
      <w:start w:val="1"/>
      <w:numFmt w:val="bullet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 w:tplc="268AC2D6">
      <w:start w:val="1"/>
      <w:numFmt w:val="bullet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 w:tplc="3BB03F1A">
      <w:start w:val="1"/>
      <w:numFmt w:val="bullet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 w:tplc="73E0D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4D8716A">
      <w:start w:val="1"/>
      <w:numFmt w:val="lowerLetter"/>
      <w:lvlText w:val="%2."/>
      <w:lvlJc w:val="left"/>
      <w:pPr>
        <w:ind w:left="1788" w:hanging="360"/>
      </w:pPr>
    </w:lvl>
    <w:lvl w:ilvl="2" w:tplc="50ECED56">
      <w:start w:val="1"/>
      <w:numFmt w:val="lowerRoman"/>
      <w:lvlText w:val="%3."/>
      <w:lvlJc w:val="right"/>
      <w:pPr>
        <w:ind w:left="2508" w:hanging="180"/>
      </w:pPr>
    </w:lvl>
    <w:lvl w:ilvl="3" w:tplc="8BD26206">
      <w:start w:val="1"/>
      <w:numFmt w:val="decimal"/>
      <w:lvlText w:val="%4."/>
      <w:lvlJc w:val="left"/>
      <w:pPr>
        <w:ind w:left="3228" w:hanging="360"/>
      </w:pPr>
    </w:lvl>
    <w:lvl w:ilvl="4" w:tplc="DB0E64D4">
      <w:start w:val="1"/>
      <w:numFmt w:val="lowerLetter"/>
      <w:lvlText w:val="%5."/>
      <w:lvlJc w:val="left"/>
      <w:pPr>
        <w:ind w:left="3948" w:hanging="360"/>
      </w:pPr>
    </w:lvl>
    <w:lvl w:ilvl="5" w:tplc="97ECB592">
      <w:start w:val="1"/>
      <w:numFmt w:val="lowerRoman"/>
      <w:lvlText w:val="%6."/>
      <w:lvlJc w:val="right"/>
      <w:pPr>
        <w:ind w:left="4668" w:hanging="180"/>
      </w:pPr>
    </w:lvl>
    <w:lvl w:ilvl="6" w:tplc="0F7AF7AA">
      <w:start w:val="1"/>
      <w:numFmt w:val="decimal"/>
      <w:lvlText w:val="%7."/>
      <w:lvlJc w:val="left"/>
      <w:pPr>
        <w:ind w:left="5388" w:hanging="360"/>
      </w:pPr>
    </w:lvl>
    <w:lvl w:ilvl="7" w:tplc="CA907A40">
      <w:start w:val="1"/>
      <w:numFmt w:val="lowerLetter"/>
      <w:lvlText w:val="%8."/>
      <w:lvlJc w:val="left"/>
      <w:pPr>
        <w:ind w:left="6108" w:hanging="360"/>
      </w:pPr>
    </w:lvl>
    <w:lvl w:ilvl="8" w:tplc="7912176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styleId="a4" w:customStyle="1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a" w:customStyle="1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unhideWhenUsed/>
    <w:pPr>
      <w:spacing w:after="40" w:line="240" w:lineRule="auto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styleId="afa" w:customStyle="1">
    <w:name w:val="Абзац списка Знак"/>
    <w:link w:val="af9"/>
    <w:uiPriority w:val="34"/>
    <w:qFormat/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d" w:customStyle="1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styleId="aff" w:customStyle="1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f1" w:customStyle="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3900</Characters>
  <CharactersWithSpaces>4575</CharactersWithSpaces>
  <Company>PNO</Company>
  <DocSecurity>0</DocSecurity>
  <HyperlinksChanged>false</HyperlinksChanged>
  <Lines>32</Lines>
  <LinksUpToDate>false</LinksUpToDate>
  <Pages>1</Pages>
  <Paragraphs>9</Paragraphs>
  <ScaleCrop>false</ScaleCrop>
  <SharedDoc>false</SharedDoc>
  <Template>Normal</Template>
  <TotalTime>26</TotalTime>
  <Words>684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Светлана Валерьевна</dc:creator>
  <cp:lastModifiedBy>Ясакова Анастасия Андреевна</cp:lastModifiedBy>
  <cp:revision>9</cp:revision>
  <dcterms:created xsi:type="dcterms:W3CDTF">2024-11-15T05:02:00Z</dcterms:created>
  <dcterms:modified xsi:type="dcterms:W3CDTF">2024-11-18T12:26:00Z</dcterms:modified>
</cp:coreProperties>
</file>