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left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размера арендной 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земельные участки, находящиеся в государственной собственности</w:t>
      </w:r>
      <w:r>
        <w:rPr>
          <w:sz w:val="28"/>
          <w:szCs w:val="28"/>
        </w:rPr>
        <w:t xml:space="preserve"> Новосибирской области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предоставленные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аренду без торгов</w:t>
      </w:r>
      <w:r>
        <w:rPr>
          <w:sz w:val="28"/>
          <w:szCs w:val="28"/>
        </w:rPr>
      </w:r>
    </w:p>
    <w:p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КОЭФФИЦИЕНТА, 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устанавливающего зависимость арендной платы от вида разрешенного использования земельного участка (Кз)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0"/>
        <w:gridCol w:w="2640"/>
        <w:gridCol w:w="6948"/>
        <w:gridCol w:w="1727"/>
        <w:gridCol w:w="2065"/>
      </w:tblGrid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№ Сегмента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Сегмент рынка недвижимости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вида разрешенного использования земельного участка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Значение коэффициента в городе Новосибирске, %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Значение коэффициента в</w:t>
            </w:r>
            <w:r>
              <w:t xml:space="preserve"> </w:t>
            </w:r>
            <w:r>
              <w:t xml:space="preserve">Новосибирской области, %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Сельскохозяйственное использование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Сельскохозяйственное использование (1.0), Растениеводство (1.1), Выращивание зерновых и иных сельскохозяйственных культур (1.2), Овощеводство (1.3), Выращивание тонизирующих, лекарственных, цветочных культур (1.4), Садово</w:t>
            </w:r>
            <w:r>
              <w:t xml:space="preserve">дство (1.5), Виноградарство (1.5.1), Выращивание льна и конопли (1.6), Животноводство (1.7), Скотоводство (1.8), Звероводство (1.9), Птицеводство (1.10), Свиноводство (1.11), Пчеловодство (1.12), Рыбоводство (1.13), Ведение личного подсобного хозяйства на </w:t>
            </w:r>
            <w:r>
              <w:t xml:space="preserve">полевых участках (1.16), Питомники (1.17), Сенокошение (1.19), Выпас сельскохозяйственных животных (1.20)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3,9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3,3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2.1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Жилая застройка (среднеэтажная и многоэтажная)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Жилая застройка (2.0), Среднеэтажная жилая застройка (2.5), Многоэтажная жилая застройка (высотная застройка) (2.6)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5,3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3,8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2.2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Малоэтажная жилая застройка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Для индивидуального жилищного строительства (2.1), Малоэтажная многоквартирная жилая застройка (2</w:t>
            </w:r>
            <w:r>
              <w:t xml:space="preserve">.1.1), Для ведения личного подсобного хозяйства (приусадебный земельный участок) (2.2), Блокированная жилая застройка (2.3), Земельные участки, входящие в состав общего имущества собственников индивидуальных жилых домов в малоэтажном жилом комплексе (14.0)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1,7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2.7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Хранение автотранспорта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Хранение автотранспорта (2.7.1), Размещение гаражей для собственных нужд (2.7.2)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1,9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1,9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Общественное использование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Научное обеспечение сельского хозяйства (1.14), Обслуживание жилой застройки (2.7), Общественное использование объе</w:t>
            </w:r>
            <w:r>
              <w:t xml:space="preserve">ктов капитального строительства (3.0), Коммунальное обслуживание (3.1), Предоставление коммунальных услуг (3.1.1), Социальное обслуживание (3.2), Дома социального обслуживания (3.2.1), Оказание социальной помощи населению (3.2.2), Общежития (3.2.4), Бытово</w:t>
            </w:r>
            <w:r>
              <w:t xml:space="preserve">е обслуживание (3.3), Здравоохранение (3.4), Амбулаторно-поликлиническое обслуживание (3.4.1), Стационарное медицинское обслуживание (3.4.2), Медицинские организации особого назначения (3.4.3), Образование и просвещение (3.5), Дошкольное, начальное и средн</w:t>
            </w:r>
            <w:r>
              <w:t xml:space="preserve">ее общее образование (3.5.1), Среднее и высшее профессиональное образование (3.5.2), Культурное развитие (3.6), Объекты культурно-досуговой деятельности (3.6.1), Цирки и зверинцы (3.6.3), Религиозное использование (3.7), Осуществление религиозных обрядов (</w:t>
            </w:r>
            <w:r>
              <w:t xml:space="preserve">3.7.1), Религиозное управление и образование (3.7.2), Общественное управление (3.8), Государственное управление (3.8.1), Представительская деятельность (3.8.2), Обеспечение научной деятельности (3.9), Обеспечение деятельности в области гидрометеорологии и </w:t>
            </w:r>
            <w:r>
              <w:t xml:space="preserve">смежных с ней областях (3.9.1), Проведение научных исследований (3.9.2), Проведение научных испытаний (3.9.3), Ветеринарное обслуживани</w:t>
            </w:r>
            <w:r>
              <w:t xml:space="preserve">е (3.10), Амбулаторное ветеринарное обслуживание (3.10.1), Приюты для животных (3.10.2), Служебные гаражи (4.9), Спорт (5.1), Обеспечение спортивно-зрелищных мероприятий (5.1.1), Обеспечение занятий спортом в помещениях (5.1.2), Площадки для занятий спорто</w:t>
            </w:r>
            <w:r>
              <w:t xml:space="preserve">м (5.1.3), Оборудованные площадки для занятий спортом (5.1.4), Водный спорт (5.1.5), Авиационный спорт (5.1.6), Спортивные базы (5.1.7), Природно-познавательный туризм (5.2), Поля для гольфа или конных прогулок (5.5), Обслуживание железнодорожных перевозок</w:t>
            </w:r>
            <w:r>
              <w:t xml:space="preserve"> (7.1.2), Обслуживание перевозок пассажиров (7.2.2), Внеуличный транспорт (7.6), Обеспечение внутреннего правопорядка (8.3), Обеспечение деятельности по исполнению наказаний (8.4), Историко-культурная деятельность (9.3), Благоустройство территории (12.0.2)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2,4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2,4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Предпринимательство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Административные здания организаций, обеспечивающих предоставление коммунальных услуг (3.1.2), Оказание услуг связи (3.2.3), Предпринимательство (4.0), Деловое управление (4.1), Объекты торговли (торговые центры, торгово-развлекательные центры (</w:t>
            </w:r>
            <w:r>
              <w:t xml:space="preserve">комплексы) (4.2), Рынки (4.3), Магазины (4.4), Банковская и страховая деятельность (4.5), Общественное питание (4.6), Развлечение (4.8), Развлекательные мероприятия (4.8.1), Проведение азартных игр (4.8.2), Проведение азартных игр в игорных зонах (4.8.3), </w:t>
            </w:r>
            <w:r>
              <w:t xml:space="preserve">Объекты дорожного сервиса (4.9.1), Заправка транспортных средств (4.9.1.1), Обеспечение дорожного отдыха (4.9.1.2), Автомобильные мойки (4.9.1.3), Ремонт автомобилей (4.9.1.4), Стоянка транспортных средств (4.9.2), Выставочно-ярмарочная деятельность (4.10)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7,9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6,3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Отдых (рекреация)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Парки культуры и отдыха (3.6.2), Отдых (рекреация) (5.0), Передвижное жилье (2.4), Гостиничное обслуживание (4.7), Туристическое обслуживание (5.2.1), Охота и рыбалка (5.3), Санаторная деятельность (9.2.1)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4,1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3.1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Производственная деятельность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Производственная деятельность (6.0), Хранение и переработка сельскохозяйственной продукции (1.15), Обеспечение сельскохозяйственного производства (1.1</w:t>
            </w:r>
            <w:r>
              <w:t xml:space="preserve">8), Причалы для маломерных судов (5.4), Недропользование (6.1), Тяжелая промышленность (6.2), Автомобилестроительная промышленность (6.2.1), Легкая промышленность (6.3), Фармацевтическая промышленность (6.3.1), Фарфоро-фаянсовая промышленность (6.3.2), Эле</w:t>
            </w:r>
            <w:r>
              <w:t xml:space="preserve">ктронная промышленность (6.3.3), Ювелирная промышленность (6.3.4), Пищевая промышленность (6.4), Нефтехимическая промышленность (6.5), Строительная промышленность (6.6), Энергетика (6.7), Атомная энергетика (6.7.1), Связь (6.8), Обеспечение космической дея</w:t>
            </w:r>
            <w:r>
              <w:t xml:space="preserve">тельности (6.10), Целлюлозно-бумажная промышленность (6.11), Научно-производственная деятельность (6.12), Железнодорожный транспорт (7.1), Водный транспорт (7.3), Воздушный транспорт (7.4), Трубопроводный транспорт (7.5), Гидротехнические сооружения (11.3)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3,8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3,6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6.1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Склады, в т.ч. промышленно-логистические парки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Склад (6.9), Складские площадки (6.9.1)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6,1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6,1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Транспорт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Транспорт (7.0), Железнодорожные пути (7.1.1), Автомобильный транспорт (7.2), Размещение автомобильных дорог (7.2.1), Стоянки транспорта общего пользования (7.2.3), Земельные участки (территории) общего пользования (12.0), Улично-дорожная сеть (12.0.1)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Обеспечение обороны и безопасности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Обеспечение обороны и безопасности (8.0), Обеспечение вооруженных сил (8.1), Охрана Государственной границы Российской Федерации (8.2) 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Охраняемые природные территории и благоустройство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Деятельность по особой охране и изучению природы (9.0), Охрана природных территорий (9.1), Сохранение и репродукция редких и (или) находящихся под угрозой исчезновения видов животных (9.1.1), Курортная деятельность (9.2)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Использование лесов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Использование лесов (10.0), Заготовка древесины (10.1), Лесные плантации (10.2), Заготовка лесных ресурсов (10.3), Резервные леса (10.4)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Водные объекты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Водные объекты (11.0), Общее пользование водными объектами (11.1), Специальное пользование водными объектами (11.2)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Специальное, ритуальное использование, запас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Ритуальная деятельность (12.1), Специальная деятельность (12.2), Запас (12.3)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Садоводство и огородничество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Земельные участки общего назначения (13.0), Ведение огородничества (13.1), Ведение садоводства (13.2)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1,4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1,4</w:t>
            </w:r>
            <w:r/>
          </w:p>
        </w:tc>
      </w:tr>
      <w:tr>
        <w:tblPrEx/>
        <w:trPr>
          <w:jc w:val="center"/>
        </w:trPr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18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640" w:type="dxa"/>
            <w:textDirection w:val="lrTb"/>
            <w:noWrap w:val="false"/>
          </w:tcPr>
          <w:p>
            <w:pPr>
              <w:jc w:val="center"/>
            </w:pPr>
            <w:r>
              <w:t xml:space="preserve">Иное использование (земельные участки в отношении которых не установлен код вида разрешенного использования)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6948" w:type="dxa"/>
            <w:textDirection w:val="lrTb"/>
            <w:noWrap w:val="false"/>
          </w:tcPr>
          <w:p>
            <w:pPr>
              <w:jc w:val="center"/>
            </w:pPr>
            <w:r>
              <w:t xml:space="preserve">Земельные участки, в отношении которых не установлен код вида разрешенного использования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1727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Mar>
              <w:left w:w="85" w:type="dxa"/>
              <w:top w:w="28" w:type="dxa"/>
              <w:right w:w="85" w:type="dxa"/>
              <w:bottom w:w="28" w:type="dxa"/>
            </w:tcMar>
            <w:tcW w:w="2065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4674830"/>
      <w:docPartObj>
        <w:docPartGallery w:val="Page Numbers (Top of Page)"/>
        <w:docPartUnique w:val="true"/>
      </w:docPartObj>
      <w:rPr/>
    </w:sdtPr>
    <w:sdtContent>
      <w:p>
        <w:pPr>
          <w:pStyle w:val="726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5" w:hanging="855"/>
        <w:tabs>
          <w:tab w:val="num" w:pos="13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  <w:rPr>
      <w:sz w:val="24"/>
      <w:szCs w:val="24"/>
      <w:lang w:eastAsia="ru-RU"/>
    </w:rPr>
  </w:style>
  <w:style w:type="paragraph" w:styleId="678">
    <w:name w:val="Heading 1"/>
    <w:basedOn w:val="677"/>
    <w:next w:val="677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character" w:styleId="700" w:customStyle="1">
    <w:name w:val="Subtitle Char"/>
    <w:basedOn w:val="687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Header Char"/>
    <w:basedOn w:val="687"/>
    <w:uiPriority w:val="99"/>
  </w:style>
  <w:style w:type="character" w:styleId="704" w:customStyle="1">
    <w:name w:val="Caption Char"/>
    <w:uiPriority w:val="99"/>
  </w:style>
  <w:style w:type="character" w:styleId="705" w:customStyle="1">
    <w:name w:val="Footnote Text Char"/>
    <w:uiPriority w:val="99"/>
    <w:rPr>
      <w:sz w:val="18"/>
    </w:rPr>
  </w:style>
  <w:style w:type="character" w:styleId="706" w:customStyle="1">
    <w:name w:val="Endnote Text Char"/>
    <w:uiPriority w:val="99"/>
    <w:rPr>
      <w:sz w:val="20"/>
    </w:rPr>
  </w:style>
  <w:style w:type="character" w:styleId="707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77"/>
    <w:uiPriority w:val="34"/>
    <w:qFormat/>
    <w:pPr>
      <w:contextualSpacing/>
      <w:ind w:left="720"/>
    </w:pPr>
  </w:style>
  <w:style w:type="paragraph" w:styleId="717">
    <w:name w:val="No Spacing"/>
    <w:uiPriority w:val="1"/>
    <w:qFormat/>
  </w:style>
  <w:style w:type="paragraph" w:styleId="718">
    <w:name w:val="Title"/>
    <w:basedOn w:val="677"/>
    <w:next w:val="677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Заголовок Знак"/>
    <w:link w:val="718"/>
    <w:uiPriority w:val="10"/>
    <w:rPr>
      <w:sz w:val="48"/>
      <w:szCs w:val="48"/>
    </w:rPr>
  </w:style>
  <w:style w:type="paragraph" w:styleId="720">
    <w:name w:val="Subtitle"/>
    <w:basedOn w:val="677"/>
    <w:next w:val="677"/>
    <w:link w:val="721"/>
    <w:uiPriority w:val="11"/>
    <w:qFormat/>
    <w:pPr>
      <w:spacing w:before="200" w:after="200"/>
    </w:pPr>
  </w:style>
  <w:style w:type="character" w:styleId="721" w:customStyle="1">
    <w:name w:val="Подзаголовок Знак"/>
    <w:link w:val="720"/>
    <w:uiPriority w:val="11"/>
    <w:rPr>
      <w:sz w:val="24"/>
      <w:szCs w:val="24"/>
    </w:rPr>
  </w:style>
  <w:style w:type="paragraph" w:styleId="722">
    <w:name w:val="Quote"/>
    <w:basedOn w:val="677"/>
    <w:next w:val="677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77"/>
    <w:next w:val="677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>
    <w:name w:val="Header"/>
    <w:basedOn w:val="677"/>
    <w:link w:val="72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7" w:customStyle="1">
    <w:name w:val="Верхний колонтитул Знак"/>
    <w:link w:val="726"/>
    <w:uiPriority w:val="99"/>
  </w:style>
  <w:style w:type="paragraph" w:styleId="728">
    <w:name w:val="Footer"/>
    <w:basedOn w:val="677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9" w:customStyle="1">
    <w:name w:val="Footer Char"/>
    <w:uiPriority w:val="99"/>
  </w:style>
  <w:style w:type="paragraph" w:styleId="730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 w:customStyle="1">
    <w:name w:val="Нижний колонтитул Знак"/>
    <w:link w:val="728"/>
    <w:uiPriority w:val="99"/>
  </w:style>
  <w:style w:type="table" w:styleId="732">
    <w:name w:val="Table Grid"/>
    <w:basedOn w:val="688"/>
    <w:tblPr/>
  </w:style>
  <w:style w:type="table" w:styleId="73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677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677"/>
    <w:link w:val="863"/>
    <w:uiPriority w:val="99"/>
    <w:semiHidden/>
    <w:unhideWhenUsed/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677"/>
    <w:next w:val="677"/>
    <w:uiPriority w:val="39"/>
    <w:unhideWhenUsed/>
    <w:pPr>
      <w:spacing w:after="57"/>
    </w:pPr>
  </w:style>
  <w:style w:type="paragraph" w:styleId="86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7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7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7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7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77"/>
    <w:next w:val="677"/>
    <w:uiPriority w:val="99"/>
    <w:unhideWhenUsed/>
  </w:style>
  <w:style w:type="paragraph" w:styleId="876" w:customStyle="1">
    <w:name w:val="Название"/>
    <w:basedOn w:val="677"/>
    <w:qFormat/>
    <w:pPr>
      <w:jc w:val="center"/>
    </w:pPr>
    <w:rPr>
      <w:sz w:val="28"/>
    </w:rPr>
  </w:style>
  <w:style w:type="paragraph" w:styleId="877">
    <w:name w:val="Body Text"/>
    <w:basedOn w:val="677"/>
    <w:pPr>
      <w:jc w:val="center"/>
      <w:spacing w:line="360" w:lineRule="auto"/>
    </w:pPr>
    <w:rPr>
      <w:sz w:val="28"/>
      <w:szCs w:val="20"/>
    </w:rPr>
  </w:style>
  <w:style w:type="paragraph" w:styleId="878">
    <w:name w:val="Balloon Text"/>
    <w:basedOn w:val="677"/>
    <w:semiHidden/>
    <w:rPr>
      <w:rFonts w:ascii="Tahoma" w:hAnsi="Tahoma" w:cs="Tahoma"/>
      <w:sz w:val="16"/>
      <w:szCs w:val="16"/>
    </w:rPr>
  </w:style>
  <w:style w:type="paragraph" w:styleId="879" w:customStyle="1">
    <w:name w:val="ConsPlusNormal"/>
    <w:rPr>
      <w:sz w:val="28"/>
      <w:szCs w:val="28"/>
      <w:lang w:eastAsia="ru-RU"/>
    </w:rPr>
  </w:style>
  <w:style w:type="character" w:styleId="880">
    <w:name w:val="annotation reference"/>
    <w:basedOn w:val="687"/>
    <w:uiPriority w:val="99"/>
    <w:semiHidden/>
    <w:unhideWhenUsed/>
    <w:rPr>
      <w:sz w:val="16"/>
      <w:szCs w:val="16"/>
    </w:rPr>
  </w:style>
  <w:style w:type="paragraph" w:styleId="881">
    <w:name w:val="annotation text"/>
    <w:basedOn w:val="677"/>
    <w:link w:val="882"/>
    <w:uiPriority w:val="99"/>
    <w:semiHidden/>
    <w:unhideWhenUsed/>
    <w:rPr>
      <w:sz w:val="20"/>
      <w:szCs w:val="20"/>
    </w:rPr>
  </w:style>
  <w:style w:type="character" w:styleId="882" w:customStyle="1">
    <w:name w:val="Текст примечания Знак"/>
    <w:basedOn w:val="687"/>
    <w:link w:val="881"/>
    <w:uiPriority w:val="99"/>
    <w:semiHidden/>
    <w:rPr>
      <w:lang w:eastAsia="ru-RU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b/>
      <w:bCs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ДИЗО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RYV</dc:creator>
  <cp:revision>6</cp:revision>
  <dcterms:created xsi:type="dcterms:W3CDTF">2024-09-24T02:28:00Z</dcterms:created>
  <dcterms:modified xsi:type="dcterms:W3CDTF">2024-11-28T09:09:21Z</dcterms:modified>
  <cp:version>1048576</cp:version>
</cp:coreProperties>
</file>